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SANARA MEDTECH INC.</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165"/>
        <w:gridCol w:w="60"/>
        <w:gridCol w:w="1145"/>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811"/>
            <w:bookmarkEnd w:id="6"/>
            <w:r>
              <w:rPr>
                <w:rFonts w:ascii="Times New Roman;Times;Serif" w:hAnsi="Times New Roman;Times;Serif"/>
                <w:b/>
                <w:i w:val="false"/>
                <w:caps w:val="false"/>
                <w:smallCaps w:val="false"/>
                <w:sz w:val="20"/>
              </w:rPr>
              <w:t>001-39678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59-2219994</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4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r>
          </w:p>
        </w:tc>
        <w:tc>
          <w:tcPr>
            <w:tcW w:w="60" w:type="dxa"/>
            <w:tcBorders/>
            <w:vAlign w:val="center"/>
          </w:tcPr>
          <w:p>
            <w:pPr>
              <w:pStyle w:val="TableContents"/>
              <w:bidi w:val="0"/>
              <w:spacing w:before="0" w:after="283"/>
              <w:jc w:val="left"/>
              <w:rPr/>
            </w:pPr>
            <w:r>
              <w:rPr/>
              <w:t> </w:t>
            </w:r>
          </w:p>
        </w:tc>
        <w:tc>
          <w:tcPr>
            <w:tcW w:w="15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1200 Summit Avenue, </w:t>
            </w:r>
            <w:bookmarkStart w:id="9" w:name="xdx_908_edei--EntityAddressAddressLine2_"/>
            <w:bookmarkEnd w:id="9"/>
            <w:r>
              <w:rPr>
                <w:rFonts w:ascii="Times New Roman;Times;Serif" w:hAnsi="Times New Roman;Times;Serif"/>
                <w:b/>
                <w:i w:val="false"/>
                <w:caps w:val="false"/>
                <w:smallCaps w:val="false"/>
                <w:sz w:val="20"/>
              </w:rPr>
              <w:t xml:space="preserve">Suite 414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Fort Worth, </w:t>
            </w:r>
            <w:bookmarkStart w:id="11" w:name="xdx_908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76102</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60811__20"/>
      <w:bookmarkEnd w:id="13"/>
      <w:r>
        <w:rPr>
          <w:rFonts w:ascii="Times New Roman;Times;Serif" w:hAnsi="Times New Roman;Times;Serif"/>
          <w:b/>
          <w:i w:val="false"/>
          <w:caps w:val="false"/>
          <w:smallCaps w:val="false"/>
          <w:sz w:val="20"/>
        </w:rPr>
        <w:t xml:space="preserve">(817) </w:t>
      </w:r>
      <w:bookmarkStart w:id="14" w:name="xdx_902_edei--LocalPhoneNumber_c20260811"/>
      <w:bookmarkEnd w:id="14"/>
      <w:r>
        <w:rPr>
          <w:rFonts w:ascii="Times New Roman;Times;Serif" w:hAnsi="Times New Roman;Times;Serif"/>
          <w:b/>
          <w:i w:val="false"/>
          <w:caps w:val="false"/>
          <w:smallCaps w:val="false"/>
          <w:sz w:val="20"/>
        </w:rPr>
        <w:t>529-2300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4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9_edei--SolicitingMaterial_c202608"/>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0811"/>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0811__2"/>
            <w:bookmarkEnd w:id="20"/>
            <w:r>
              <w:rPr>
                <w:rFonts w:ascii="Times New Roman;Times;Serif" w:hAnsi="Times New Roman;Times;Serif"/>
                <w:b w:val="false"/>
                <w:i w:val="false"/>
                <w:caps w:val="false"/>
                <w:smallCaps w:val="false"/>
                <w:sz w:val="20"/>
              </w:rPr>
              <w:t>SMTI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3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Sanara MedTech Inc. (the “Company”) issued a press release announcing its financial results for the quarter ended June 30, 2026. A copy of the Company’s press release is furnished as Exhibit 99.1 to this Current Report on Form 8-K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in such filing.</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Exhibits </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August 11, 2026 (furnished pursuant to Item 2.02).</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470"/>
        <w:gridCol w:w="1370"/>
        <w:gridCol w:w="545"/>
        <w:gridCol w:w="189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Sanara MedTech Inc</w:t>
            </w:r>
            <w:r>
              <w:rPr>
                <w:rFonts w:ascii="Times New Roman;Times;Serif" w:hAnsi="Times New Roman;Times;Serif"/>
                <w:b w:val="false"/>
                <w:i w:val="false"/>
                <w:caps w:val="false"/>
                <w:smallCaps w:val="false"/>
                <w:sz w:val="20"/>
              </w:rPr>
              <w: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Elizabeth B. Taylor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B. Taylor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3812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790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Reports Second Quarter 2026 Financial Results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TX, August 11, 2026 (GLOBE NEWSWIRE) — Sanara MedTech Inc. (“Sanara,” “Sanara MedTech,” the “Company,” “we,” “our” or “us”) (Nasdaq: SMTI), a medical technology company focused on developing and commercializing transformative technologies to improve clinical outcomes and reduce healthcare expenditures in the surgical market, today reported its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Quarter 2026 Financial Summary</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increased 9% to $28.1 million, compared to $25.8 million in the second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$26.2 million, or 93% of net revenue, compared to gross profit of $23.9 million, or 92% of net revenue, in the second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of $1.8 million, compared to operating income of $2.5 million in the second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of $0.4 million, or a loss of $0.05 per diluted share, compared to net income from continuing operations of $0.5 million, or $0.05 per diluted share, in the second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of $5.0 million, compared to $4.7 million in the second quarter of 2025.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 Six Months of 2026 Financial Summary</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increased 14% to $55.9 million, compared to $49.2 million in the first six months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$52.0 million, or 93% of net revenue, compared to gross profit of $45.5 million, or 92% of net revenue, in the first six months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of $4.4 million, compared to operating income of $3.3 million in the first six months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of $13,457, or zero per diluted share, compared to net loss from continuing operations of $0.1 million, or a loss of $0.01 per diluted share, in the first six months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of $9.3 million, compared to $7.4 million in the first six months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$15.4 million and $46.5 million of long-term debt at June 30, 2026, compared to $16.6 million of cash and cash equivalents and $46.0 million of long-term debt at December 31, 2025.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As a result of the Company’s strategic realignment, the operations of Tissue Health Plus (“THP”), which were previously reported as the THP segment, have been classified as discontinued operations in Sanara’s consolidated financial statements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Adjusted EBITDA is a non-GAAP financial measure. See the discussion and the reconciliation at the end of this release for additional information.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Management Comments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Yon, President and Chief Executive Officer of Sanara, commented, We continued to drive solid revenue growth in the second quarter of 2026 with net revenue of $28.1 million, representing a 9% increase over the second quarter of 2025, as well as gross margin of 93% supporting Adjusted EBITDA of $5.0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close of the quarter, we announced our entry into a transformational agreement in which Sanara is expected to be acquired by MIMEDX, a leading provider of products for applications in wound care, burn and surgical sectors of healthcare,” Mr. Yon continued. “The transaction is expected to combine Sanara’s pure play surgical focus and innovative technologies across collagen particulate, wound irrigation and bone fixation with MIMEDX’s high-growth, best-in-class surgical portfolio, creating a leading regenerative medicine company across numerous surgical subspecialties. The completion of this combination, which remains subject to customary closing conditions, would allow us to deepen our existing distributor relationships and expand our operating presence by bringing together two highly focused organizations with deep benches of talent and strong momentum in the surgical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remain focused on continuing to meet the needs of our customers and expanding penetration of our portfolio of surgical products, which include our leading product CellerateRX Surgical, BIASURGE and OsStic, a licensed synthetic injectable structural bio-adhesive bone void filler which remains on track to be introduced to the market in the first quarter of 2027,” Mr. Yon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and Year-to-Date 2026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streams from product sales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2480"/>
        <w:gridCol w:w="60"/>
        <w:gridCol w:w="140"/>
        <w:gridCol w:w="1100"/>
        <w:gridCol w:w="60"/>
        <w:gridCol w:w="60"/>
        <w:gridCol w:w="140"/>
        <w:gridCol w:w="1100"/>
        <w:gridCol w:w="60"/>
        <w:gridCol w:w="60"/>
        <w:gridCol w:w="140"/>
        <w:gridCol w:w="1100"/>
        <w:gridCol w:w="60"/>
        <w:gridCol w:w="60"/>
        <w:gridCol w:w="140"/>
        <w:gridCol w:w="1100"/>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Soft tissue repair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25,242,592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22,661,457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50,185,537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43,193,897</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Bone fusion products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2,894,165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3,142,795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5,749,754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6,044,451</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 Net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28,136,757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25,804,252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55,935,291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49,238,348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of 2026 Financial Results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for the second quarter of 2026 was $28.1 million, compared to $25.8 million for the second quarter of 2025, an increase of $2.3 million, or 9%, year-over-year. Higher net revenue for the second quarter of 2026 was driven by an increase of $2.5 million, or 11%, in sales of soft tissue repair products, including CellerateRX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Surgical Powder (“CellerateRX Surgical”), BIASURGE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Advanced Surgical Solution (“BIASURGE”) and FORTIFY TRG</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Tissue Repair Graft (“FORTIFY TRG”), offset by a slight decrease of $0.2 million, or 8%, in sales of bone fusion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second quarter of 2026 was $26.2 million, compared to $23.9 million for the second quarter of 2025, an increase of $2.3 million, or 10%, year-over-year. Gross margin was 93% of net revenue for the second quarter of 2026, compared to 92% of net revenue for the second quarter of 2025. Higher gross profit and margin for the second quarter of 2026 was primarily due to the net revenue growth factors above and product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second quarter of 2026 were $24.4 million, or 86.8% of net revenue, compared to $21.4 million, or 82.9% of net revenue, for the second quarter of 2025, an increase of $3.0 million, or 14%, year-over-year. The increase in operating expenses was primarily due to higher selling, general, and administrative (“SG&amp;A”) as well as slightly increased research and development (“R&amp;D”). Higher SG&amp;A in the second quarter of 2026 was primarily due to increased direct sales and marketing expenses, which accounted for approximately $1.2 million of the increase, approximately $0.6 million related to compensation expense and approximately $1.1 million related to legal and advisory services associated with corporate strategic initiatives. R&amp;D for the second quarter of 2026 increased to $1.2 million, or 4% of net revenue, compared to $1.1 million, or 4% of net revenue,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second quarter of 2026 was $1.8 million, compared to operating income of $2.5 million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for the second quarter of 2026 was $2.2 million, compared to $2.0 million for the second quarter of 2025. The increase in other expense for the second quarter of 2026 was primarily due to higher interest expense related to our term loan with CRG Servicing LLC (the “CRG Term Loan”) and our share of losses from equity method investments. In the second quarter of 2025, interest on the CRG Term Loan was paid-in-kind and capitalized to the loan balance, whereas all interest was paid in cash in the second quarter of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for the second quarter of 2026 was $0.4 million, or a loss of $0.05 per diluted share, compared to net income from continuing operations of $0.5 million, or $0.05 per diluted share, for the second quarter of 2025. Net loss from continuing operations for the second quarter of 2026 was primarily due to higher SG&amp;A, interest expense related to the CRG Term Loan and share of losses from equity method investments, partially offset by net revenue growth. Net loss from discontinued operations for the second quarter of 2026 was $41,720, compared to a net loss from discontinued operations of $2.5 million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the second quarter of 2026 was $5.0 million, compared to $4.7 million for the second quarter of 2025, an increase of $0.3 million. Higher Adjusted EBITDA in the second quarter of 2026 was primarily due to net revenue growth offset by increases in SG&amp;A.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Six Months of 2026 Financial Results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for the first six months of 2026 was $55.9 million, compared to $49.2 million for the first six months of 2025, an increase of $6.7 million, or 14%, year-over-year. Higher net revenue for the first six months of 2026 was driven by an increase of $7.0 million, or 16%, in sales of soft tissue repair products, including CellerateRX Surgical, BIASURGE and FORTIFY TRG, offset by a slight decrease of $0.3 million, or 5%, in sales of bone fusion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first six months of 2026 was $52.0 million, compared to $45.5 million for the first six months of 2025, an increase of $6.5 million, or 14%, year-over-year. Gross margin was 93% of net revenue for the first six months of 2026, compared to 92% of net revenue for the first six months of 2025. Higher gross profit and margin for the first six months of 2026 was primarily due to the net revenue growth factors above and product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first six months of 2026 were $47.6 million, or 85.2% of net revenue, compared to $42.2 million, or 85.8% of net revenue, for the first six months of 2025, an increase of $5.4 million, or 13%, year-over-year. The increase in operating expenses was primarily due to higher SG&amp;A offset by lower R&amp;D, for the first six months of 2026. Higher SG&amp;A in the first six months of 2026 was primarily due to increased direct sales and marketing expenses, which accounted for approximately $3.1 million of the increase, approximately $1.1 million related to compensation expense, approximately $1.1 million related to legal and advisory services associated with corporate strategic initiatives and approximately $0.2 million related to contracted services. R&amp;D for the first six months of 2026 decreased to $1.9 million, or 3% of net revenue, compared to R&amp;D of $2.0 million, or 4% of net revenue, for the first six months of 2025. Lower R&amp;D in the first six months of 2026 was primarily due to the timing of product enhancement initiatives associated with the Company’s soft tissue repair products when compared to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first six months of 2026 was $4.4 million, compared to operating income of $3.3 million for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for the first six months of 2026 was $4.4 million, compared to $3.4 million for the first six months of 2025. The increase in other expense for the first six months of 2026 was primarily due to higher interest expense related to the CRG Term Loan and share of losses from equity method investments. In the first six months of 2025, interest on the CRG Term Loan was paid-in-kind and capitalized to the loan balance, whereas all interest was paid in cash in the first six months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for the first six months of 2026 was $13,457, or zero per diluted share, compared to a net loss from continuing operations of $0.1 million, or a loss of $0.01 per diluted share, for the first six months of 2025. Net loss from continuing operations for the first six months of 2026 was primarily due to higher SG&amp;A, interest expense related to the CRG Term Loan and share of losses from equity method investments, partially offset by net revenue growth. Net income from discontinued operations for the first six months of 2026 was $19,196, compared to a net loss from discontinued operations of $5.4 million for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the first six months of 2026 was $9.3 million, compared to $7.4 million for the first six months of 2025, an increase of $1.9 million. The increase in Adjusted EBITDA in the first six months of 2026 was primarily due to net revenue growth offset by increases in SG&amp;A.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the first six months of 2026 was $0.4 million, compared to $0.7 million of net cash provided by operating activities in the first six months of 2025. The increase in net cash used in operating activities during the first six months of 2026 was primarily due to the timing of commissions payments, higher cash interest expense resulting from a larger outstanding debt balance compared to the prior-year period and the absence of paid-in-kind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$15.4 million of cash and cash equivalents and $46.5 million of long-term debt, compared to $16.6 million and $46.0 million, respectively,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As a result of the Company’s strategic realignment, the operations of THP, which were previously reported as the THP segment, have been classified as discontinued operations in Sanara’s consolidated financial statements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Adjusted EBITDA is a non-GAAP financial measure. See the discussion and the reconciliation at the end of this release for additional information.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Sanara MedTech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MedTech Inc. is a medical technology company focused on developing and commercializing transformative technologies to improve clinical outcomes and reduce healthcare expenditures in the surgical market. The Company develops, markets and distributes surgical products for use by physicians and clinicians in hospitals. Each of the Company’s products and technologies are designed to achieve the goal of providing better clinical outcomes at a lower overall cost for healthcare systems. Sanara’s products are primarily sold in the North American surgical tissue repair market. Sanara markets and distributes CellerateRX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Surgical Activated Collagen Powder, BIASURGE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Advanced Surgical Solution, FORTIFY TRG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Tissue Repair Graft and FORTIFY FLOWABLE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Extracellular Matrix, as well as a portfolio of advanced biologic products including: ACTIGEN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Verified Inductive Bone Matrix, ALLOCYTE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Plus Advanced Viable Bone Matrix, BiFORM</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Bioactive Moldable Matrix and TEXAGEN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Amniotic Membrane Allograft to the surgical market. The Company believes it can drive its pipeline from concept to preclinical and clinical development while meeting quality and regulatory requirements. The Company strives to be one of the most innovative and comprehensive providers of effective surgical solutions and is continually seeking to expand its offerings for patients requiring treatments in the United States. For more information, please visit </w:t>
      </w:r>
      <w:r>
        <w:rPr>
          <w:rFonts w:ascii="Times New Roman;Times;Serif" w:hAnsi="Times New Roman;Times;Serif"/>
          <w:b w:val="false"/>
          <w:i w:val="false"/>
          <w:caps w:val="false"/>
          <w:smallCaps w:val="false"/>
          <w:sz w:val="20"/>
          <w:u w:val="single"/>
        </w:rPr>
        <w:t>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about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press release that do not constitute historical facts are “forward-looking statements,” within the meaning of and subject to the safe harbor created by the Private Securities Litigation Reform Act of 1995. These statements may be identified by terms such as “aims,” “anticipates,” “believes,” contemplates,” “continue,” “could,” “estimates,” “expects,” “forecast,” “guidance,” “intends,” “may,” “plans,” “possible,” “potential,” “predicts,” “preliminary,” “projects,” “seeks,” “should,” “targets,” “will” or “would,” or the negatives of these terms, variations of these terms or other similar expressions. These forward-looking statements include, among others, statements regarding the Company’s expected net revenue, the Company’s ability to achieve enhanced results by focusing on the surgical market, the Company’s business strategy and mission, the development of new products, the timing of commercialization of the Company’s products, and the regulatory approval process. These items involve risks, contingencies and uncertainties such as uncertainties as to the timing of the proposed transaction with MIMEDX (defined below);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the Company’s shareholders) in the anticipated timeframe or at all; the risk that any announcements relating to the proposed transaction could have adverse effects on the market price of the Company’s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the Company to pay a termination fee; risks related to disruption of management’s attention from the Company’s ongoing business operations due to the proposed transaction; significant transaction costs; the risk of litigation and/or regulatory actions related to the proposed transaction; uncertainties associated with the development and process for obtaining regulatory approval for new products; the extent of product demand; market and customer acceptance; the effect of economic conditions, competition and pricing; uncertainties associated with the development and process for obtaining regulatory approval for new products; the ability to consummate and integrate acquisitions, and other risks, contingencies and uncertainties detailed in the Company’s most recent Annual Report on Form 10-K, Quarterly Report on Form 10-Q and subsequent reports filed with the Securities and Exchange Commission (the “SEC”), which could cause the Company’s actual operating results, performance or business plans or prospects to differ materially from those expressed in or implied by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speak only as of the date on which they are made, and the Company undertakes no obligation to revise any of these statements to reflect future circumstances or the occurrence of unanticipated events, except as required by applicable securities laws.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Group, Inc.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shareholders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w:t>
      </w:r>
      <w:r>
        <w:rPr>
          <w:rFonts w:ascii="Times New Roman;Times;Serif" w:hAnsi="Times New Roman;Times;Serif"/>
          <w:b w:val="false"/>
          <w:i w:val="false"/>
          <w:caps w:val="false"/>
          <w:smallCaps w:val="false"/>
          <w:sz w:val="20"/>
          <w:u w:val="single"/>
        </w:rPr>
        <w:t>https://www.sec.gov</w:t>
      </w:r>
      <w:r>
        <w:rPr>
          <w:rFonts w:ascii="Times New Roman;Times;Serif" w:hAnsi="Times New Roman;Times;Serif"/>
          <w:b w:val="false"/>
          <w:i w:val="false"/>
          <w:caps w:val="false"/>
          <w:smallCaps w:val="false"/>
          <w:sz w:val="20"/>
        </w:rPr>
        <w:t xml:space="preserve">. Copies of the documents filed with the SEC by MIMEDX will be available free of charge on MIMEDX’s website at </w:t>
      </w:r>
      <w:r>
        <w:rPr>
          <w:rFonts w:ascii="Times New Roman;Times;Serif" w:hAnsi="Times New Roman;Times;Serif"/>
          <w:b w:val="false"/>
          <w:i w:val="false"/>
          <w:caps w:val="false"/>
          <w:smallCaps w:val="false"/>
          <w:sz w:val="20"/>
          <w:u w:val="single"/>
        </w:rPr>
        <w:t>https://investors.mimedx.com/</w:t>
      </w:r>
      <w:r>
        <w:rPr>
          <w:rFonts w:ascii="Times New Roman;Times;Serif" w:hAnsi="Times New Roman;Times;Serif"/>
          <w:b w:val="false"/>
          <w:i w:val="false"/>
          <w:caps w:val="false"/>
          <w:smallCaps w:val="false"/>
          <w:sz w:val="20"/>
        </w:rPr>
        <w:t xml:space="preserve">. Copies will also be available at no charge at the Investor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Shareholders,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Shareholders,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Walter Frank or John Nesbett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IMS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IR@sanaramedtech.com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972-9200</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4"/>
        <w:gridCol w:w="60"/>
        <w:gridCol w:w="140"/>
        <w:gridCol w:w="1175"/>
        <w:gridCol w:w="95"/>
        <w:gridCol w:w="60"/>
        <w:gridCol w:w="143"/>
        <w:gridCol w:w="1207"/>
        <w:gridCol w:w="111"/>
      </w:tblGrid>
      <w:tr>
        <w:trPr/>
        <w:tc>
          <w:tcPr>
            <w:tcW w:w="7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15,421,170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16,578,857</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val="false"/>
              </w:rPr>
            </w:pPr>
            <w:r>
              <w:rPr>
                <w:b w:val="false"/>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12,572,651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11,998,075</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Inventory,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3,459,921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3,948,748</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val="false"/>
              </w:rPr>
            </w:pPr>
            <w:r>
              <w:rPr>
                <w:b w:val="false"/>
              </w:rPr>
              <w:t>Prepaid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741,733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948,620</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Current assets related to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b w:val="false"/>
              </w:rPr>
            </w:pPr>
            <w:r>
              <w:rPr>
                <w:b w:val="false"/>
              </w:rPr>
              <w:t>67,863</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32,200,678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33,542,163</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17,277,013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18,640,673</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val="false"/>
              </w:rPr>
            </w:pPr>
            <w:r>
              <w:rPr>
                <w:b w:val="false"/>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3,601,781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3,601,781</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13,730,703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14,626,858</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val="false"/>
              </w:rPr>
            </w:pPr>
            <w:r>
              <w:rPr>
                <w:b w:val="false"/>
              </w:rPr>
              <w:t>Right of use assets –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1,909,278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2,075,634</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426,934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456,962</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Total 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36,945,709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39,401,908</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69,146,387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72,944,071</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center"/>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val="false"/>
              </w:rPr>
            </w:pPr>
            <w:r>
              <w:rPr>
                <w:b w:val="false"/>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1,401,443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2,338,761</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Accrued bonuses and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6,801,395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11,781,435</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val="false"/>
              </w:rPr>
            </w:pPr>
            <w:r>
              <w:rPr>
                <w:b w:val="false"/>
              </w:rPr>
              <w:t>Accrued royalties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3,562,415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2,684,626</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Earnout liabilities –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235,001</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val="false"/>
              </w:rPr>
            </w:pPr>
            <w:r>
              <w:rPr>
                <w:b w:val="false"/>
              </w:rPr>
              <w:t>Operating lease liabilities –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383,153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353,229</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val="false"/>
              </w:rPr>
            </w:pPr>
            <w:r>
              <w:rPr>
                <w:b w:val="false"/>
              </w:rPr>
              <w:t>Current liabilities related to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345,585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b w:val="false"/>
              </w:rPr>
            </w:pPr>
            <w:r>
              <w:rPr>
                <w:b w:val="false"/>
              </w:rPr>
              <w:t>1,233,478</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12,493,991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18,626,530</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46,477,087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45,970,937</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pPr>
            <w:r>
              <w:rPr/>
              <w:t>Operating lease liabilities – long-term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1,669,529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1,868,703</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571,320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548,125</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48,717,936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48,387,765</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61,211,927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67,014,295</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pPr>
            <w:r>
              <w:rPr/>
              <w:t>Common Stock: $0.001 par value, 20,000,000 shares authorized; 9,193,394 issued and outstanding as of June 30, 2026 and 8,946,913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8,948</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82,826,049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81,232,536</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(74,891,763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(75,303,042</w:t>
            </w:r>
          </w:p>
        </w:tc>
        <w:tc>
          <w:tcPr>
            <w:tcW w:w="111" w:type="dxa"/>
            <w:tcBorders/>
            <w:shd w:fill="FFFFFF" w:val="clear"/>
            <w:vAlign w:val="center"/>
          </w:tcPr>
          <w:p>
            <w:pPr>
              <w:pStyle w:val="TableContents"/>
              <w:bidi w:val="0"/>
              <w:spacing w:before="0" w:after="283"/>
              <w:jc w:val="left"/>
              <w:rPr/>
            </w:pPr>
            <w:r>
              <w:rPr/>
              <w:t>)</w:t>
            </w:r>
          </w:p>
        </w:tc>
      </w:tr>
      <w:tr>
        <w:trPr/>
        <w:tc>
          <w:tcPr>
            <w:tcW w:w="7214" w:type="dxa"/>
            <w:tcBorders/>
            <w:shd w:fill="CCEEFF" w:val="clear"/>
            <w:vAlign w:val="center"/>
          </w:tcPr>
          <w:p>
            <w:pPr>
              <w:pStyle w:val="TableContents"/>
              <w:bidi w:val="0"/>
              <w:spacing w:before="0" w:after="283"/>
              <w:jc w:val="left"/>
              <w:rPr>
                <w:b/>
              </w:rPr>
            </w:pPr>
            <w:r>
              <w:rPr>
                <w:b/>
              </w:rPr>
              <w:t>Total Sanara MedTech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7,943,480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b/>
              </w:rPr>
            </w:pPr>
            <w:r>
              <w:rPr>
                <w:b/>
              </w:rPr>
              <w:t>5,938,442</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pPr>
            <w:r>
              <w:rPr/>
              <w:t>Equity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(8,666</w:t>
            </w:r>
          </w:p>
        </w:tc>
        <w:tc>
          <w:tcPr>
            <w:tcW w:w="111" w:type="dxa"/>
            <w:tcBorders/>
            <w:shd w:fill="FFFFFF" w:val="clear"/>
            <w:vAlign w:val="center"/>
          </w:tcPr>
          <w:p>
            <w:pPr>
              <w:pStyle w:val="TableContents"/>
              <w:bidi w:val="0"/>
              <w:spacing w:before="0" w:after="283"/>
              <w:jc w:val="left"/>
              <w:rPr/>
            </w:pPr>
            <w:r>
              <w:rPr/>
              <w:t>)</w:t>
            </w:r>
          </w:p>
        </w:tc>
      </w:tr>
      <w:tr>
        <w:trPr/>
        <w:tc>
          <w:tcPr>
            <w:tcW w:w="7214"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7,934,460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5,929,776</w:t>
            </w:r>
          </w:p>
        </w:tc>
        <w:tc>
          <w:tcPr>
            <w:tcW w:w="111" w:type="dxa"/>
            <w:tcBorders/>
            <w:shd w:fill="CCEEFF" w:val="clear"/>
            <w:vAlign w:val="center"/>
          </w:tcPr>
          <w:p>
            <w:pPr>
              <w:pStyle w:val="TableContents"/>
              <w:bidi w:val="0"/>
              <w:spacing w:before="0" w:after="283"/>
              <w:jc w:val="left"/>
              <w:rPr/>
            </w:pPr>
            <w:r>
              <w:rPr/>
              <w:t> </w:t>
            </w:r>
          </w:p>
        </w:tc>
      </w:tr>
      <w:tr>
        <w:trPr/>
        <w:tc>
          <w:tcPr>
            <w:tcW w:w="7214"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69,146,387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72,944,071</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28,136,757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25,804,252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55,935,291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49,238,348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1,981,347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1,937,282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3,904,936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3,772,249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26,155,410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23,866,970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52,030,355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45,466,099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22,601,690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19,634,319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44,483,210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38,763,527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1,154,232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1,056,796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1,913,824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2,007,155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619,111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688,546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1,206,363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1,382,578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24,375,033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21,379,661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47,603,397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42,153,260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1,780,377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4,426,958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3,312,839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(1,810,311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(1,791,568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(3,609,656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(3,108,660</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Share of losses from 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(433,648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(896,155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(339,090</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3,672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10,932</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(2,191,521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(1,987,050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(4,440,415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(3,433,146</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(411,144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500,259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(13,457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(120,307</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Net 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(41,720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(2,518,657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(5,425,474</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(452,864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(2,018,398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5,739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(5,545,781</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Less: Net loss attributable to noncontrolling interest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(4,242</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Net income (loss) attributable to Sanara MedTech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(452,864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(2,014,362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(5,541,539</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Net income (loss) per share,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(0.01</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(0.63</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Net income (loss) per share of common stock,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(0.64</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income (loss) per share,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(0.01</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(0.63</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Net income (loss) per share of common stock,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(0.64</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Weighted average number of common shares outstanding,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8,662,671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8,612,986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8,732,849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8,591,663</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Weighted average number of common shares outstanding,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8,662,671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8,927,060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8,732,849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8,591,663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the numerator and denominator of basic and diluted net income (loss) per share for the periods presented: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0"/>
        <w:gridCol w:w="60"/>
        <w:gridCol w:w="140"/>
        <w:gridCol w:w="980"/>
        <w:gridCol w:w="95"/>
        <w:gridCol w:w="60"/>
        <w:gridCol w:w="140"/>
        <w:gridCol w:w="1055"/>
        <w:gridCol w:w="95"/>
        <w:gridCol w:w="60"/>
        <w:gridCol w:w="140"/>
        <w:gridCol w:w="980"/>
        <w:gridCol w:w="95"/>
        <w:gridCol w:w="60"/>
        <w:gridCol w:w="140"/>
        <w:gridCol w:w="1055"/>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pPr>
            <w:r>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both"/>
              <w:rPr/>
            </w:pPr>
            <w:r>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(411,144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500,259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(120,307</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both"/>
              <w:rPr/>
            </w:pPr>
            <w:r>
              <w:rPr/>
              <w:t>Net income (loss)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(2,518,657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(5,425,474</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Less: Net loss attributable to noncontrolling interests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(4,242</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Net income (loss) attributable to Sanara MedTech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(452,864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(2,014,362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(5,541,539</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Weighted average shares,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8,662,671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8,612,986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8,732,849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8,591,663</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Dilutive effect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Dilutive effect of unvested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283,061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Weighted average shares,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8,662,671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8,927,060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8,732,849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8,591,663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shares of common stock that were potentially issuable but were excluded from the computation of diluted net loss per share of common stock for the periods presented, as such shares would have had an anti-dilutive effect:</w:t>
      </w:r>
    </w:p>
    <w:p>
      <w:pPr>
        <w:pStyle w:val="TextBody"/>
        <w:bidi w:val="0"/>
        <w:spacing w:before="0" w:after="0"/>
        <w:jc w:val="center"/>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2405"/>
        <w:gridCol w:w="60"/>
        <w:gridCol w:w="60"/>
        <w:gridCol w:w="800"/>
        <w:gridCol w:w="60"/>
        <w:gridCol w:w="60"/>
        <w:gridCol w:w="60"/>
        <w:gridCol w:w="800"/>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31,013</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Unvested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411,210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260,377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5,739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(5,545,781</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2,238,641</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(9,674</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Credit loss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294,034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Inventory obsolescence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371,957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2,524,645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2,740,343</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359,758</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896,155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339,090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Back-end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359,067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377,490</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Paid-in-kind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995,244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Accretion of finance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86,541</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Amortization and write-off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147,083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132,821</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(700,576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125,086</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Accounts receivable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31,485</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Inventory,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358,005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(1,130,775</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Prepaid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254,547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(76,285</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(937,318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(42,464</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1,442</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Accrued royalties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898,597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317,076</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Accrued bonuses and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(5,762,706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(579,389</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b w:val="false"/>
              </w:rPr>
            </w:pPr>
            <w:r>
              <w:rPr>
                <w:b w:val="false"/>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(169,250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(361,513</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b/>
              </w:rPr>
            </w:pPr>
            <w:r>
              <w:rPr>
                <w:b/>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(426,935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665,127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(3,484,008</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60,000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Purchases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(23,452</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Investment in equity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(3,538,217</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CarePICS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(2,122,146</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(49,052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(9,107,823</w:t>
            </w:r>
          </w:p>
        </w:tc>
        <w:tc>
          <w:tcPr>
            <w:tcW w:w="110" w:type="dxa"/>
            <w:tcBorders/>
            <w:shd w:fill="FFFFFF" w:val="clear"/>
            <w:vAlign w:val="center"/>
          </w:tcPr>
          <w:p>
            <w:pPr>
              <w:pStyle w:val="TableContents"/>
              <w:bidi w:val="0"/>
              <w:spacing w:before="0" w:after="283"/>
              <w:jc w:val="left"/>
              <w:rPr>
                <w:b/>
              </w:rPr>
            </w:pPr>
            <w:r>
              <w:rPr>
                <w:b/>
              </w:rPr>
              <w:t>)</w:t>
            </w:r>
          </w:p>
        </w:tc>
      </w:tr>
      <w:tr>
        <w:trPr/>
        <w:tc>
          <w:tcPr>
            <w:tcW w:w="74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Loan proceeds, net of debt issuance costs of zero in 2026 and $228,183 in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12,021,817</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Pay off debt assumed in CarePICS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(1,650,000</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Net settlement of equity-based awards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(525,700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(692,672</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Cash payment of finance and earnout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(156,000</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(681,700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9,523,145</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(1,157,687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1,080,449</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rPr>
            </w:pPr>
            <w:r>
              <w:rPr>
                <w:b/>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16,578,857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15,878,295</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15,421,170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16,958,744</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val="false"/>
              </w:rPr>
            </w:pPr>
            <w:r>
              <w:rPr>
                <w:b w:val="false"/>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3,050,346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1,516,563</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val="false"/>
              </w:rPr>
            </w:pPr>
            <w:r>
              <w:rPr>
                <w:b w:val="false"/>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52,984</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rPr>
            </w:pPr>
            <w:r>
              <w:rPr>
                <w:b/>
              </w:rPr>
              <w:t>Supplemental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val="false"/>
              </w:rPr>
            </w:pPr>
            <w:r>
              <w:rPr>
                <w:b w:val="false"/>
              </w:rPr>
              <w:t>Non-monetary exchange to acquire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2,084,278</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b w:val="false"/>
              </w:rPr>
            </w:pPr>
            <w:r>
              <w:rPr>
                <w:b w:val="false"/>
              </w:rPr>
              <w:t>Conversion of note receivable into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1,101,478</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b w:val="false"/>
              </w:rPr>
            </w:pPr>
            <w:r>
              <w:rPr>
                <w:b w:val="false"/>
              </w:rPr>
              <w:t>Earnout liability generated by CarePICS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financial information presented in accordance with generally accepted accounting principles in the United States (“GAAP”), we present certain non-GAAP financial measures in this press release, including Adjusted EBITDA. The Company’s management uses these non-GAAP financial measures, both internally and externally, to assess and communicate the financial performance of the Company. The Company defines Adjusted EBITDA as net income (loss) from continuing operations excluding interest expense/income, provision/benefit for income taxes, depreciation and amortization, non-cash share-based compensation expense, change in fair value of earnout liabilities, asset impairment charges, share of losses from equity method investments, gains/losses on the disposal of property and equipment, executive separation costs, and acquisition and other transaction related costs, as each is applicable to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Adjusted EBITDA is useful to investors because it facilitates comparisons of the Company’s core business operations across periods on a consistent basis. Accordingly, the Company adjusts certain items when calculating Adjusted EBITDA because the Company believes that such items are not related to the Company’s core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financial measures are not in accordance with, nor an alternative for, measures conforming to GAAP and may be different from non-GAAP financial measures used by other companies. In addition, these non-GAAP financial measures are not based on any comprehensive set of accounting rules or principles. The Company continues to provide all information required by GAAP, but it believes that evaluating its ongoing operating results may not be as useful if an investor or other user is limited to reviewing only GAAP financial measures. The Company does not, nor does it suggest that investors should, consider these non-GAAP financial measures in isolation from, or as a substitute for, financial information prepared in accordance with GAAP. Material limitations associated with the use of such measures include that they do not reflect all costs included in operating expenses and may not be comparable with similarly named financial measures of other companies. Furthermore, these non-GAAP financial measures are based on subjective determinations of management regarding the nature and classification of events and circumstances. The Company presents these non-GAAP financial measures to provide investors with information to evaluate the Company’s operating results in a manner similar to how management evaluates business performance. To compensate for any limitations in such non-GAAP financial measures, management believes that it is useful in understanding and analyzing the results of the business to review both GAAP information and the related non-GAAP financial measures. Whenever the Company uses a non-GAAP financial measure, it provides a reconciliation of the non-GAAP financial measure to the most directly comparable GAAP financial measure. Investors are encouraged to review and consider these reconciliations.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(loss) from continuing operations to Adjusted EBITDA (Unaudited):</w:t>
      </w:r>
    </w:p>
    <w:p>
      <w:pPr>
        <w:pStyle w:val="TextBody"/>
        <w:bidi w:val="0"/>
        <w:spacing w:before="0" w:after="0"/>
        <w:ind w:left="0" w:right="0" w:hanging="0"/>
        <w:jc w:val="both"/>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4760"/>
        <w:gridCol w:w="60"/>
        <w:gridCol w:w="140"/>
        <w:gridCol w:w="980"/>
        <w:gridCol w:w="95"/>
        <w:gridCol w:w="60"/>
        <w:gridCol w:w="140"/>
        <w:gridCol w:w="980"/>
        <w:gridCol w:w="60"/>
        <w:gridCol w:w="60"/>
        <w:gridCol w:w="140"/>
        <w:gridCol w:w="980"/>
        <w:gridCol w:w="95"/>
        <w:gridCol w:w="60"/>
        <w:gridCol w:w="140"/>
        <w:gridCol w:w="980"/>
        <w:gridCol w:w="11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(411,144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(13,457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(120,307</w:t>
            </w:r>
          </w:p>
        </w:tc>
        <w:tc>
          <w:tcPr>
            <w:tcW w:w="110" w:type="dxa"/>
            <w:tcBorders/>
            <w:shd w:fill="CCEEFF" w:val="clear"/>
            <w:vAlign w:val="center"/>
          </w:tcPr>
          <w:p>
            <w:pPr>
              <w:pStyle w:val="TableContents"/>
              <w:bidi w:val="0"/>
              <w:spacing w:before="0" w:after="283"/>
              <w:jc w:val="left"/>
              <w:rPr/>
            </w:pPr>
            <w:r>
              <w:rPr/>
              <w:t>)</w:t>
            </w:r>
          </w:p>
        </w:tc>
      </w:tr>
      <w:tr>
        <w:trPr/>
        <w:tc>
          <w:tcPr>
            <w:tcW w:w="4760"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1,810,311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3,609,656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3,108,660</w:t>
            </w:r>
          </w:p>
        </w:tc>
        <w:tc>
          <w:tcPr>
            <w:tcW w:w="11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619,111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688,546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1,382,578</w:t>
            </w:r>
          </w:p>
        </w:tc>
        <w:tc>
          <w:tcPr>
            <w:tcW w:w="11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Noncash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1,496,310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1,278,871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2,524,645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2,454,367</w:t>
            </w:r>
          </w:p>
        </w:tc>
        <w:tc>
          <w:tcPr>
            <w:tcW w:w="11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433,648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195,482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896,155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339,090</w:t>
            </w:r>
          </w:p>
        </w:tc>
        <w:tc>
          <w:tcPr>
            <w:tcW w:w="11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(10,932</w:t>
            </w:r>
          </w:p>
        </w:tc>
        <w:tc>
          <w:tcPr>
            <w:tcW w:w="110" w:type="dxa"/>
            <w:tcBorders/>
            <w:shd w:fill="CCEEFF" w:val="clear"/>
            <w:vAlign w:val="center"/>
          </w:tcPr>
          <w:p>
            <w:pPr>
              <w:pStyle w:val="TableContents"/>
              <w:bidi w:val="0"/>
              <w:spacing w:before="0" w:after="283"/>
              <w:jc w:val="left"/>
              <w:rPr/>
            </w:pPr>
            <w:r>
              <w:rPr/>
              <w:t>)</w:t>
            </w:r>
          </w:p>
        </w:tc>
      </w:tr>
      <w:tr>
        <w:trPr/>
        <w:tc>
          <w:tcPr>
            <w:tcW w:w="476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(53,814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(3,672</w:t>
            </w:r>
          </w:p>
        </w:tc>
        <w:tc>
          <w:tcPr>
            <w:tcW w:w="110" w:type="dxa"/>
            <w:tcBorders/>
            <w:shd w:fill="FFFFFF" w:val="clear"/>
            <w:vAlign w:val="center"/>
          </w:tcPr>
          <w:p>
            <w:pPr>
              <w:pStyle w:val="TableContents"/>
              <w:bidi w:val="0"/>
              <w:spacing w:before="0" w:after="283"/>
              <w:jc w:val="left"/>
              <w:rPr/>
            </w:pPr>
            <w:r>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separation costs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260,275</w:t>
            </w:r>
          </w:p>
        </w:tc>
        <w:tc>
          <w:tcPr>
            <w:tcW w:w="11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 and other transaction related costs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4,826</w:t>
            </w:r>
          </w:p>
        </w:tc>
        <w:tc>
          <w:tcPr>
            <w:tcW w:w="11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5,010,778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4,719,827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9,272,946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7,414,885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of $7,021 and $12,482 was reclassified as continuing operations in the three and six months ended June 30, 2025 and is therefore no longer reflected in discontinued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$130,174 of share-based compensation related to executive separation costs for the three and six months ended June 30,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other transaction related costs are comprised of legal and advisory services related to prospective acquisitions and corporate strategic initiatives.</w:t>
            </w:r>
          </w:p>
        </w:tc>
      </w:tr>
    </w:tbl>
    <w:p>
      <w:pPr>
        <w:pStyle w:val="TextBody"/>
        <w:bidi w:val="0"/>
        <w:spacing w:before="0" w:after="0"/>
        <w:ind w:left="630" w:right="0" w:hanging="27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 Consolidated (reflecting our Surgical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tables reflect results of operations of our surgical business for the periods indicated below (Unaudited except for full fiscal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22325" w:type="dxa"/>
        <w:jc w:val="left"/>
        <w:tblInd w:w="0" w:type="dxa"/>
        <w:tblLayout w:type="fixed"/>
        <w:tblCellMar>
          <w:top w:w="0" w:type="dxa"/>
          <w:left w:w="0" w:type="dxa"/>
          <w:bottom w:w="0" w:type="dxa"/>
          <w:right w:w="0" w:type="dxa"/>
        </w:tblCellMar>
      </w:tblPr>
      <w:tblGrid>
        <w:gridCol w:w="1265"/>
        <w:gridCol w:w="60"/>
        <w:gridCol w:w="140"/>
        <w:gridCol w:w="1100"/>
        <w:gridCol w:w="95"/>
        <w:gridCol w:w="60"/>
        <w:gridCol w:w="140"/>
        <w:gridCol w:w="1100"/>
        <w:gridCol w:w="95"/>
        <w:gridCol w:w="60"/>
        <w:gridCol w:w="140"/>
        <w:gridCol w:w="1100"/>
        <w:gridCol w:w="95"/>
        <w:gridCol w:w="60"/>
        <w:gridCol w:w="140"/>
        <w:gridCol w:w="1100"/>
        <w:gridCol w:w="95"/>
        <w:gridCol w:w="60"/>
        <w:gridCol w:w="140"/>
        <w:gridCol w:w="122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110"/>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4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23,434,096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25,804,252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26,333,819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27,545,815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103,117,982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18,536,638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20,158,823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21,671,599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26,305,365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86,672,425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15,519,187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15,753,164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16,024,948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17,689,813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64,987,112</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1,834,967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1,937,282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1,874,214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1,874,506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7,520,969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1,890,046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2,008,686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1,991,987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2,249,182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8,139,901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2,116,694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2,187,516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1,751,349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1,788,162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7,843,721</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21,599,129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23,866,970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24,459,605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25,671,309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95,597,013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16,646,592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18,150,137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19,679,612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24,056,183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78,532,524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13,402,493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13,565,648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14,273,599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15,901,651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57,143,391</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19,129,208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19,634,319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19,877,875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20,075,597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78,716,999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15,683,039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18,349,924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17,420,347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20,220,332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71,673,642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12,467,395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13,301,230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13,460,404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15,597,823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54,826,852</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950,359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1,056,796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1,029,591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2,035,737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5,072,483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578,981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582,443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883,399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2,828,663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235,236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208,727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902,782</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694,032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688,546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610,899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668,396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2,661,873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698,502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698,407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696,888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692,032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2,785,829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372,020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396,597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590,563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687,679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2,046,859</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Change in fair value of earnout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(191,127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(758,783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(1,298,336</w:t>
            </w:r>
          </w:p>
        </w:tc>
        <w:tc>
          <w:tcPr>
            <w:tcW w:w="110" w:type="dxa"/>
            <w:tcBorders/>
            <w:shd w:fill="CCEEFF" w:val="clear"/>
            <w:vAlign w:val="center"/>
          </w:tcPr>
          <w:p>
            <w:pPr>
              <w:pStyle w:val="TableContents"/>
              <w:bidi w:val="0"/>
              <w:spacing w:before="0" w:after="283"/>
              <w:jc w:val="left"/>
              <w:rPr/>
            </w:pPr>
            <w:r>
              <w:rPr/>
              <w:t>)</w:t>
            </w:r>
          </w:p>
        </w:tc>
      </w:tr>
      <w:tr>
        <w:trPr/>
        <w:tc>
          <w:tcPr>
            <w:tcW w:w="1265" w:type="dxa"/>
            <w:tcBorders/>
            <w:shd w:fill="FFFFFF" w:val="clear"/>
            <w:vAlign w:val="center"/>
          </w:tcPr>
          <w:p>
            <w:pPr>
              <w:pStyle w:val="TableContents"/>
              <w:bidi w:val="0"/>
              <w:spacing w:before="0" w:after="283"/>
              <w:jc w:val="left"/>
              <w:rPr>
                <w:b w:val="false"/>
              </w:rPr>
            </w:pPr>
            <w:r>
              <w:rPr>
                <w:b w:val="false"/>
              </w:rPr>
              <w:t>Asset impairment charges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1,841,120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1,841,120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20,773,599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21,379,661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21,518,365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24,620,850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88,292,475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16,856,741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19,720,104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18,901,075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21,795,763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77,273,683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12,883,524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13,470,550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13,518,070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16,606,013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56,478,157</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Operating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825,530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2,941,240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1,050,459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7,304,538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(210,149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(1,569,967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778,537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2,260,420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1,258,841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518,969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755,529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(704,362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665,234</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(1,317,092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(1,791,568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(1,818,105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(1,833,035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(6,759,800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(267,336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(644,346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(927,577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(1,289,136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(3,128,395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(188,294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(287,483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(475,783</w:t>
            </w:r>
          </w:p>
        </w:tc>
        <w:tc>
          <w:tcPr>
            <w:tcW w:w="110" w:type="dxa"/>
            <w:tcBorders/>
            <w:shd w:fill="FFFFFF" w:val="clear"/>
            <w:vAlign w:val="center"/>
          </w:tcPr>
          <w:p>
            <w:pPr>
              <w:pStyle w:val="TableContents"/>
              <w:bidi w:val="0"/>
              <w:spacing w:before="0" w:after="283"/>
              <w:jc w:val="left"/>
              <w:rPr/>
            </w:pPr>
            <w:r>
              <w:rPr/>
              <w:t>)</w:t>
            </w:r>
          </w:p>
        </w:tc>
      </w:tr>
      <w:tr>
        <w:trPr/>
        <w:tc>
          <w:tcPr>
            <w:tcW w:w="1265" w:type="dxa"/>
            <w:tcBorders/>
            <w:shd w:fill="CCEEFF" w:val="clear"/>
            <w:vAlign w:val="center"/>
          </w:tcPr>
          <w:p>
            <w:pPr>
              <w:pStyle w:val="TableContents"/>
              <w:bidi w:val="0"/>
              <w:spacing w:before="0" w:after="283"/>
              <w:jc w:val="left"/>
              <w:rPr/>
            </w:pPr>
            <w:r>
              <w:rPr/>
              <w:t>Share of losses from 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(143,608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(288,642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(324,734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(952,466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(58,559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b w:val="false"/>
              </w:rPr>
            </w:pPr>
            <w:r>
              <w:rPr>
                <w:b w:val="false"/>
              </w:rPr>
              <w:t>Gain on disposal of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251,034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251,034</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(1,446,096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(1,987,050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(2,106,747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(2,157,769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(7,697,662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(267,336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(644,346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(959,025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(1,325,717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(3,196,424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(188,294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(36,449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(224,749</w:t>
            </w:r>
          </w:p>
        </w:tc>
        <w:tc>
          <w:tcPr>
            <w:tcW w:w="110" w:type="dxa"/>
            <w:tcBorders/>
            <w:shd w:fill="CCEEFF" w:val="clear"/>
            <w:vAlign w:val="center"/>
          </w:tcPr>
          <w:p>
            <w:pPr>
              <w:pStyle w:val="TableContents"/>
              <w:bidi w:val="0"/>
              <w:spacing w:before="0" w:after="283"/>
              <w:jc w:val="left"/>
              <w:rPr>
                <w:b/>
              </w:rPr>
            </w:pPr>
            <w:r>
              <w:rPr>
                <w:b/>
              </w:rPr>
              <w:t>)</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(620,566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834,493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(1,107,310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(393,124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(477,485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(2,214,313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(180,488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934,703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(1,937,583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567,235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(740,811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440,485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of $90,293 was reclassified and is now reflected as discontinued operations in the first quarter of 2024.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9" w:type="dxa"/>
            <w:tcBorders/>
            <w:vAlign w:val="center"/>
          </w:tcPr>
          <w:p>
            <w:pPr>
              <w:pStyle w:val="TableContents"/>
              <w:bidi w:val="0"/>
              <w:spacing w:before="0" w:after="283"/>
              <w:jc w:val="both"/>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of $5,461 and $7,021 was reclassified as continuing operations in the first and second quarters of 2025, respectively, and is therefore no longer reflected in discontinued operations.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 Consolidated (reflecting our Surgical Business)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(loss) from continuing operations to Adjusted EBITDA (Unaudited):</w:t>
      </w:r>
    </w:p>
    <w:p>
      <w:pPr>
        <w:pStyle w:val="TextBody"/>
        <w:bidi w:val="0"/>
        <w:spacing w:before="0" w:after="0"/>
        <w:ind w:left="0" w:right="0" w:hanging="0"/>
        <w:jc w:val="both"/>
        <w:rPr>
          <w:caps w:val="false"/>
          <w:smallCaps w:val="false"/>
        </w:rPr>
      </w:pPr>
      <w:r>
        <w:rPr>
          <w:caps w:val="false"/>
          <w:smallCaps w:val="false"/>
        </w:rPr>
        <w:t> </w:t>
      </w:r>
    </w:p>
    <w:tbl>
      <w:tblPr>
        <w:tblW w:w="20830" w:type="dxa"/>
        <w:jc w:val="left"/>
        <w:tblInd w:w="0" w:type="dxa"/>
        <w:tblLayout w:type="fixed"/>
        <w:tblCellMar>
          <w:top w:w="0" w:type="dxa"/>
          <w:left w:w="0" w:type="dxa"/>
          <w:bottom w:w="0" w:type="dxa"/>
          <w:right w:w="0" w:type="dxa"/>
        </w:tblCellMar>
      </w:tblPr>
      <w:tblGrid>
        <w:gridCol w:w="1340"/>
        <w:gridCol w:w="60"/>
        <w:gridCol w:w="140"/>
        <w:gridCol w:w="980"/>
        <w:gridCol w:w="95"/>
        <w:gridCol w:w="60"/>
        <w:gridCol w:w="140"/>
        <w:gridCol w:w="980"/>
        <w:gridCol w:w="60"/>
        <w:gridCol w:w="60"/>
        <w:gridCol w:w="140"/>
        <w:gridCol w:w="980"/>
        <w:gridCol w:w="60"/>
        <w:gridCol w:w="60"/>
        <w:gridCol w:w="140"/>
        <w:gridCol w:w="1055"/>
        <w:gridCol w:w="95"/>
        <w:gridCol w:w="60"/>
        <w:gridCol w:w="140"/>
        <w:gridCol w:w="1100"/>
        <w:gridCol w:w="95"/>
        <w:gridCol w:w="60"/>
        <w:gridCol w:w="140"/>
        <w:gridCol w:w="980"/>
        <w:gridCol w:w="95"/>
        <w:gridCol w:w="60"/>
        <w:gridCol w:w="140"/>
        <w:gridCol w:w="1055"/>
        <w:gridCol w:w="95"/>
        <w:gridCol w:w="60"/>
        <w:gridCol w:w="140"/>
        <w:gridCol w:w="980"/>
        <w:gridCol w:w="95"/>
        <w:gridCol w:w="60"/>
        <w:gridCol w:w="140"/>
        <w:gridCol w:w="980"/>
        <w:gridCol w:w="95"/>
        <w:gridCol w:w="60"/>
        <w:gridCol w:w="140"/>
        <w:gridCol w:w="1055"/>
        <w:gridCol w:w="95"/>
        <w:gridCol w:w="60"/>
        <w:gridCol w:w="140"/>
        <w:gridCol w:w="980"/>
        <w:gridCol w:w="95"/>
        <w:gridCol w:w="60"/>
        <w:gridCol w:w="140"/>
        <w:gridCol w:w="980"/>
        <w:gridCol w:w="95"/>
        <w:gridCol w:w="60"/>
        <w:gridCol w:w="140"/>
        <w:gridCol w:w="980"/>
        <w:gridCol w:w="95"/>
        <w:gridCol w:w="60"/>
        <w:gridCol w:w="140"/>
        <w:gridCol w:w="980"/>
        <w:gridCol w:w="95"/>
        <w:gridCol w:w="60"/>
        <w:gridCol w:w="140"/>
        <w:gridCol w:w="1055"/>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980" w:type="dxa"/>
            <w:tcBorders/>
            <w:shd w:fill="CCEEFF" w:val="clear"/>
            <w:vAlign w:val="center"/>
          </w:tcPr>
          <w:p>
            <w:pPr>
              <w:pStyle w:val="TableContents"/>
              <w:bidi w:val="0"/>
              <w:spacing w:before="0" w:after="283"/>
              <w:jc w:val="right"/>
              <w:rPr>
                <w:b w:val="false"/>
              </w:rPr>
            </w:pPr>
            <w:r>
              <w:rPr>
                <w:b w:val="false"/>
              </w:rPr>
              <w:t>(620,566</w:t>
            </w:r>
          </w:p>
        </w:tc>
        <w:tc>
          <w:tcPr>
            <w:tcW w:w="95" w:type="dxa"/>
            <w:tcBorders/>
            <w:shd w:fill="CCEEFF" w:val="clear"/>
            <w:vAlign w:val="center"/>
          </w:tcPr>
          <w:p>
            <w:pPr>
              <w:pStyle w:val="TableContents"/>
              <w:bidi w:val="0"/>
              <w:spacing w:before="0" w:after="283"/>
              <w:jc w:val="left"/>
              <w:rPr>
                <w:b w:val="false"/>
              </w:rPr>
            </w:pPr>
            <w:r>
              <w:rPr>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980" w:type="dxa"/>
            <w:tcBorders/>
            <w:shd w:fill="CCEEFF" w:val="clear"/>
            <w:vAlign w:val="center"/>
          </w:tcPr>
          <w:p>
            <w:pPr>
              <w:pStyle w:val="TableContents"/>
              <w:bidi w:val="0"/>
              <w:spacing w:before="0" w:after="283"/>
              <w:jc w:val="right"/>
              <w:rPr>
                <w:b w:val="false"/>
              </w:rPr>
            </w:pPr>
            <w:r>
              <w:rPr>
                <w:b w:val="false"/>
              </w:rPr>
              <w:t>500,259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980" w:type="dxa"/>
            <w:tcBorders/>
            <w:shd w:fill="CCEEFF" w:val="clear"/>
            <w:vAlign w:val="center"/>
          </w:tcPr>
          <w:p>
            <w:pPr>
              <w:pStyle w:val="TableContents"/>
              <w:bidi w:val="0"/>
              <w:spacing w:before="0" w:after="283"/>
              <w:jc w:val="right"/>
              <w:rPr>
                <w:b w:val="false"/>
              </w:rPr>
            </w:pPr>
            <w:r>
              <w:rPr>
                <w:b w:val="false"/>
              </w:rPr>
              <w:t>834,493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1055" w:type="dxa"/>
            <w:tcBorders/>
            <w:shd w:fill="CCEEFF" w:val="clear"/>
            <w:vAlign w:val="center"/>
          </w:tcPr>
          <w:p>
            <w:pPr>
              <w:pStyle w:val="TableContents"/>
              <w:bidi w:val="0"/>
              <w:spacing w:before="0" w:after="283"/>
              <w:jc w:val="right"/>
              <w:rPr>
                <w:b w:val="false"/>
              </w:rPr>
            </w:pPr>
            <w:r>
              <w:rPr>
                <w:b w:val="false"/>
              </w:rPr>
              <w:t>(1,107,310</w:t>
            </w:r>
          </w:p>
        </w:tc>
        <w:tc>
          <w:tcPr>
            <w:tcW w:w="95" w:type="dxa"/>
            <w:tcBorders/>
            <w:shd w:fill="CCEEFF" w:val="clear"/>
            <w:vAlign w:val="center"/>
          </w:tcPr>
          <w:p>
            <w:pPr>
              <w:pStyle w:val="TableContents"/>
              <w:bidi w:val="0"/>
              <w:spacing w:before="0" w:after="283"/>
              <w:jc w:val="left"/>
              <w:rPr>
                <w:b w:val="false"/>
              </w:rPr>
            </w:pPr>
            <w:r>
              <w:rPr>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1100" w:type="dxa"/>
            <w:tcBorders/>
            <w:shd w:fill="CCEEFF" w:val="clear"/>
            <w:vAlign w:val="center"/>
          </w:tcPr>
          <w:p>
            <w:pPr>
              <w:pStyle w:val="TableContents"/>
              <w:bidi w:val="0"/>
              <w:spacing w:before="0" w:after="283"/>
              <w:jc w:val="right"/>
              <w:rPr>
                <w:b w:val="false"/>
              </w:rPr>
            </w:pPr>
            <w:r>
              <w:rPr>
                <w:b w:val="false"/>
              </w:rPr>
              <w:t>(393,124</w:t>
            </w:r>
          </w:p>
        </w:tc>
        <w:tc>
          <w:tcPr>
            <w:tcW w:w="95" w:type="dxa"/>
            <w:tcBorders/>
            <w:shd w:fill="CCEEFF" w:val="clear"/>
            <w:vAlign w:val="center"/>
          </w:tcPr>
          <w:p>
            <w:pPr>
              <w:pStyle w:val="TableContents"/>
              <w:bidi w:val="0"/>
              <w:spacing w:before="0" w:after="283"/>
              <w:jc w:val="left"/>
              <w:rPr>
                <w:b w:val="false"/>
              </w:rPr>
            </w:pPr>
            <w:r>
              <w:rPr>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980" w:type="dxa"/>
            <w:tcBorders/>
            <w:shd w:fill="CCEEFF" w:val="clear"/>
            <w:vAlign w:val="center"/>
          </w:tcPr>
          <w:p>
            <w:pPr>
              <w:pStyle w:val="TableContents"/>
              <w:bidi w:val="0"/>
              <w:spacing w:before="0" w:after="283"/>
              <w:jc w:val="right"/>
              <w:rPr>
                <w:b w:val="false"/>
              </w:rPr>
            </w:pPr>
            <w:r>
              <w:rPr>
                <w:b w:val="false"/>
              </w:rPr>
              <w:t>(477,485</w:t>
            </w:r>
          </w:p>
        </w:tc>
        <w:tc>
          <w:tcPr>
            <w:tcW w:w="95" w:type="dxa"/>
            <w:tcBorders/>
            <w:shd w:fill="CCEEFF" w:val="clear"/>
            <w:vAlign w:val="center"/>
          </w:tcPr>
          <w:p>
            <w:pPr>
              <w:pStyle w:val="TableContents"/>
              <w:bidi w:val="0"/>
              <w:spacing w:before="0" w:after="283"/>
              <w:jc w:val="left"/>
              <w:rPr>
                <w:b w:val="false"/>
              </w:rPr>
            </w:pPr>
            <w:r>
              <w:rPr>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(2,214,313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(180,488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980" w:type="dxa"/>
            <w:tcBorders/>
            <w:shd w:fill="CCEEFF" w:val="clear"/>
            <w:vAlign w:val="center"/>
          </w:tcPr>
          <w:p>
            <w:pPr>
              <w:pStyle w:val="TableContents"/>
              <w:bidi w:val="0"/>
              <w:spacing w:before="0" w:after="283"/>
              <w:jc w:val="right"/>
              <w:rPr>
                <w:b w:val="false"/>
              </w:rPr>
            </w:pPr>
            <w:r>
              <w:rPr>
                <w:b w:val="false"/>
              </w:rPr>
              <w:t>934,703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1055" w:type="dxa"/>
            <w:tcBorders/>
            <w:shd w:fill="CCEEFF" w:val="clear"/>
            <w:vAlign w:val="center"/>
          </w:tcPr>
          <w:p>
            <w:pPr>
              <w:pStyle w:val="TableContents"/>
              <w:bidi w:val="0"/>
              <w:spacing w:before="0" w:after="283"/>
              <w:jc w:val="right"/>
              <w:rPr>
                <w:b w:val="false"/>
              </w:rPr>
            </w:pPr>
            <w:r>
              <w:rPr>
                <w:b w:val="false"/>
              </w:rPr>
              <w:t>(1,937,583</w:t>
            </w:r>
          </w:p>
        </w:tc>
        <w:tc>
          <w:tcPr>
            <w:tcW w:w="95" w:type="dxa"/>
            <w:tcBorders/>
            <w:shd w:fill="CCEEFF" w:val="clear"/>
            <w:vAlign w:val="center"/>
          </w:tcPr>
          <w:p>
            <w:pPr>
              <w:pStyle w:val="TableContents"/>
              <w:bidi w:val="0"/>
              <w:spacing w:before="0" w:after="283"/>
              <w:jc w:val="left"/>
              <w:rPr>
                <w:b w:val="false"/>
              </w:rPr>
            </w:pPr>
            <w:r>
              <w:rPr>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980" w:type="dxa"/>
            <w:tcBorders/>
            <w:shd w:fill="CCEEFF" w:val="clear"/>
            <w:vAlign w:val="center"/>
          </w:tcPr>
          <w:p>
            <w:pPr>
              <w:pStyle w:val="TableContents"/>
              <w:bidi w:val="0"/>
              <w:spacing w:before="0" w:after="283"/>
              <w:jc w:val="right"/>
              <w:rPr>
                <w:b w:val="false"/>
              </w:rPr>
            </w:pPr>
            <w:r>
              <w:rPr>
                <w:b w:val="false"/>
              </w:rPr>
              <w:t>518,963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980" w:type="dxa"/>
            <w:tcBorders/>
            <w:shd w:fill="CCEEFF" w:val="clear"/>
            <w:vAlign w:val="center"/>
          </w:tcPr>
          <w:p>
            <w:pPr>
              <w:pStyle w:val="TableContents"/>
              <w:bidi w:val="0"/>
              <w:spacing w:before="0" w:after="283"/>
              <w:jc w:val="right"/>
              <w:rPr>
                <w:b w:val="false"/>
              </w:rPr>
            </w:pPr>
            <w:r>
              <w:rPr>
                <w:b w:val="false"/>
              </w:rPr>
              <w:t>95,098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rPr>
            </w:pPr>
            <w:r>
              <w:rPr>
                <w:b w:val="false"/>
              </w:rPr>
              <w:t>$</w:t>
            </w:r>
          </w:p>
        </w:tc>
        <w:tc>
          <w:tcPr>
            <w:tcW w:w="980" w:type="dxa"/>
            <w:tcBorders/>
            <w:shd w:fill="CCEEFF" w:val="clear"/>
            <w:vAlign w:val="center"/>
          </w:tcPr>
          <w:p>
            <w:pPr>
              <w:pStyle w:val="TableContents"/>
              <w:bidi w:val="0"/>
              <w:spacing w:before="0" w:after="283"/>
              <w:jc w:val="right"/>
              <w:rPr>
                <w:b w:val="false"/>
              </w:rPr>
            </w:pPr>
            <w:r>
              <w:rPr>
                <w:b w:val="false"/>
              </w:rPr>
              <w:t>567,235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(740,811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440,485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1,317,092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val="false"/>
              </w:rPr>
            </w:pPr>
            <w:r>
              <w:rPr>
                <w:b w:val="false"/>
              </w:rPr>
              <w:t>1,791,568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val="false"/>
              </w:rPr>
            </w:pPr>
            <w:r>
              <w:rPr>
                <w:b w:val="false"/>
              </w:rPr>
              <w:t>1,818,105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1,833,035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6,759,800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267,336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644,346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val="false"/>
              </w:rPr>
            </w:pPr>
            <w:r>
              <w:rPr>
                <w:b w:val="false"/>
              </w:rPr>
              <w:t>927,577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1,289,136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val="false"/>
              </w:rPr>
            </w:pPr>
            <w:r>
              <w:rPr>
                <w:b w:val="false"/>
              </w:rPr>
              <w:t>3,128,395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val="false"/>
              </w:rPr>
            </w:pPr>
            <w:r>
              <w:rPr>
                <w:b w:val="false"/>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val="false"/>
              </w:rPr>
            </w:pPr>
            <w:r>
              <w:rPr>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188,294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287,483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475,783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val="false"/>
              </w:rPr>
            </w:pPr>
            <w:r>
              <w:rPr>
                <w:b w:val="false"/>
              </w:rPr>
              <w:t>694,032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val="false"/>
              </w:rPr>
            </w:pPr>
            <w:r>
              <w:rPr>
                <w:b w:val="false"/>
              </w:rPr>
              <w:t>688,546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610,899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668,396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2,661,873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698,502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val="false"/>
              </w:rPr>
            </w:pPr>
            <w:r>
              <w:rPr>
                <w:b w:val="false"/>
              </w:rPr>
              <w:t>698,407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696,888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val="false"/>
              </w:rPr>
            </w:pPr>
            <w:r>
              <w:rPr>
                <w:b w:val="false"/>
              </w:rPr>
              <w:t>692,032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val="false"/>
              </w:rPr>
            </w:pPr>
            <w:r>
              <w:rPr>
                <w:b w:val="false"/>
              </w:rPr>
              <w:t>2,785,829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val="false"/>
              </w:rPr>
            </w:pPr>
            <w:r>
              <w:rPr>
                <w:b w:val="false"/>
              </w:rPr>
              <w:t>372,020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396,597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590,563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687,679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2,046,859</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Noncash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1,175,496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1,278,871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1,164,070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1,155,545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val="false"/>
              </w:rPr>
            </w:pPr>
            <w:r>
              <w:rPr>
                <w:b w:val="false"/>
              </w:rPr>
              <w:t>4,773,982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val="false"/>
              </w:rPr>
            </w:pPr>
            <w:r>
              <w:rPr>
                <w:b w:val="false"/>
              </w:rPr>
              <w:t>753,616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val="false"/>
              </w:rPr>
            </w:pPr>
            <w:r>
              <w:rPr>
                <w:b w:val="false"/>
              </w:rPr>
              <w:t>1,046,321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1,003,599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1,165,472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3,969,008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545,214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1,064,516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val="false"/>
              </w:rPr>
            </w:pPr>
            <w:r>
              <w:rPr>
                <w:b w:val="false"/>
              </w:rPr>
              <w:t>813,606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val="false"/>
              </w:rPr>
            </w:pPr>
            <w:r>
              <w:rPr>
                <w:b w:val="false"/>
              </w:rPr>
              <w:t>777,994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val="false"/>
              </w:rPr>
            </w:pPr>
            <w:r>
              <w:rPr>
                <w:b w:val="false"/>
              </w:rPr>
              <w:t>3,201,330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Change in fair value of earnout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(14,451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(191,127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(436,004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(758,783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(1,298,336</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Asset impairment charges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1,841,120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1,841,120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143,608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195,482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288,642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324,734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952,466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90,007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(21,978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(21,978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separation costs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172,048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432,323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904,781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964,466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Acquisition costs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(24,826</w:t>
            </w:r>
          </w:p>
        </w:tc>
        <w:tc>
          <w:tcPr>
            <w:tcW w:w="95" w:type="dxa"/>
            <w:tcBorders/>
            <w:shd w:fill="FFFFFF" w:val="clear"/>
            <w:vAlign w:val="center"/>
          </w:tcPr>
          <w:p>
            <w:pPr>
              <w:pStyle w:val="TableContents"/>
              <w:bidi w:val="0"/>
              <w:spacing w:before="0" w:after="283"/>
              <w:jc w:val="left"/>
              <w:rPr>
                <w:b w:val="false"/>
              </w:rPr>
            </w:pPr>
            <w:r>
              <w:rPr>
                <w:b w:val="false"/>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225,089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(64,872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185,029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423,513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val="false"/>
              </w:rPr>
            </w:pPr>
            <w:r>
              <w:rPr>
                <w:b w:val="false"/>
              </w:rPr>
              <w:t>423,513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2,695,058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4,719,827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4,908,257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4,690,694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17,013,836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1,138,188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1,393,961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2,563,521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4,053,052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9,148,722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1,245,076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1,120,207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1,400,915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1,523,436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5,289,634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of $5,461 and $7,021 was reclassified as continuing operations in the first and second quarters of 2025, respectively, and is therefore no longer reflected in discontinued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9" w:type="dxa"/>
            <w:tcBorders/>
            <w:vAlign w:val="center"/>
          </w:tcPr>
          <w:p>
            <w:pPr>
              <w:pStyle w:val="TableContents"/>
              <w:bidi w:val="0"/>
              <w:spacing w:before="0" w:after="283"/>
              <w:jc w:val="both"/>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share-based compensation related to executive separation costs.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9" w:type="dxa"/>
            <w:tcBorders/>
            <w:vAlign w:val="center"/>
          </w:tcPr>
          <w:p>
            <w:pPr>
              <w:pStyle w:val="TableContents"/>
              <w:bidi w:val="0"/>
              <w:spacing w:before="0" w:after="283"/>
              <w:jc w:val="both"/>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costs include legal, tax, accounting and other contract services related to prospective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6625</Words>
  <Characters>36772</Characters>
  <CharactersWithSpaces>45428</CharactersWithSpaces>
  <Paragraphs>5004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