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Sanara MedTech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BAIRD TRUST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KENTUCKY</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BK</w:t>
      </w:r>
    </w:p>
    <w:p>
      <w:pPr>
        <w:spacing w:after="0" w:line="200" w:lineRule="exact"/>
        <w:rPr>
          <w:sz w:val="20"/>
          <w:szCs w:val="20"/>
          <w:color w:val="auto"/>
        </w:rPr>
      </w:pPr>
    </w:p>
    <w:p>
      <w:pPr>
        <w:sectPr>
          <w:pgSz w:w="11900" w:h="16838" w:orient="portrait"/>
          <w:cols w:equalWidth="0" w:num="2">
            <w:col w:w="1100" w:space="60"/>
            <w:col w:w="9560"/>
          </w:cols>
          <w:pgMar w:left="320" w:top="111" w:right="85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Items (6), (8), (9) and (11) reflect Common Stock ("Shares") that Baird Trust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("BTC") may be deemed to beneficially own within the meaning of Rule 13d-3 of the Securities Exchange Act of 1934, as amended (the "Act"), by virtue of the investment discretion or voting authority granted to it by its clients over such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BAIRD FINANCIAL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WISCONSIN</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21,075.00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21,075.00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720"/>
          </w:cols>
          <w:pgMar w:left="320" w:top="111" w:right="85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21,075.00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CO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Items (6), (8), (9) and (11) consist of Shares held by Baird Trust Company.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Baird Financial Group,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320"/>
          </w:cols>
          <w:pgMar w:left="320" w:top="355" w:right="125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WISCONSIN</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21,075.00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100" w:space="60"/>
            <w:col w:w="9160"/>
          </w:cols>
          <w:pgMar w:left="320" w:top="355" w:right="125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Items (6), (8), (9) and (11) consist of Shares held by Baird Trust Company.</w:t>
      </w:r>
    </w:p>
    <w:p>
      <w:pPr>
        <w:sectPr>
          <w:pgSz w:w="11900" w:h="16838" w:orient="portrait"/>
          <w:cols w:equalWidth="0" w:num="1">
            <w:col w:w="10320"/>
          </w:cols>
          <w:pgMar w:left="320" w:top="355" w:right="1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320"/>
          </w:cols>
          <w:pgMar w:left="320" w:top="355" w:right="125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Sanara MedTech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1200 SUMMIT AVE, SUITE 414, FORT WORTH, TEXAS, 76102.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80"/>
        <w:spacing w:after="0" w:line="286" w:lineRule="auto"/>
        <w:rPr>
          <w:sz w:val="20"/>
          <w:szCs w:val="20"/>
          <w:color w:val="auto"/>
        </w:rPr>
      </w:pPr>
      <w:r>
        <w:rPr>
          <w:rFonts w:ascii="Times New Roman" w:cs="Times New Roman" w:eastAsia="Times New Roman" w:hAnsi="Times New Roman"/>
          <w:sz w:val="22"/>
          <w:szCs w:val="22"/>
          <w:color w:val="auto"/>
        </w:rPr>
        <w:t>(1) Baird Trust Company ("BTC") (2) Baird Financial Corporation ("BFC") (3) Baird Financial Group, Inc. ("BFG") Address or principal business office or, if none, residence:</w:t>
      </w:r>
    </w:p>
    <w:p>
      <w:pPr>
        <w:spacing w:after="0" w:line="156"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address of the principal business office of BTC is: 500 West Jefferson Street, Suite 2600 Louisville, Kentucky</w:t>
      </w:r>
    </w:p>
    <w:p>
      <w:pPr>
        <w:spacing w:after="0" w:line="25" w:lineRule="exact"/>
        <w:rPr>
          <w:rFonts w:ascii="Times New Roman" w:cs="Times New Roman" w:eastAsia="Times New Roman" w:hAnsi="Times New Roman"/>
          <w:sz w:val="21"/>
          <w:szCs w:val="21"/>
          <w:color w:val="auto"/>
        </w:rPr>
      </w:pPr>
    </w:p>
    <w:p>
      <w:pPr>
        <w:ind w:left="920" w:right="88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40202 The address of the principal business office of each of BFC and BFG is: 777 East Wisconsin Avenue Milwaukee, Wisconsin 53202</w:t>
      </w:r>
    </w:p>
    <w:p>
      <w:pPr>
        <w:sectPr>
          <w:pgSz w:w="11900" w:h="16838" w:orient="portrait"/>
          <w:cols w:equalWidth="0" w:num="1">
            <w:col w:w="11100"/>
          </w:cols>
          <w:pgMar w:left="360" w:top="193" w:right="439" w:bottom="0" w:gutter="0" w:footer="0" w:header="0"/>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BTC is a Kentucky corporation and BFC and BFG are Wisconsin corporations.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80"/>
          </w:cols>
          <w:pgMar w:left="360" w:top="193" w:right="439" w:bottom="0" w:gutter="0" w:footer="0" w:header="0"/>
          <w:type w:val="continuous"/>
        </w:sect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60"/>
        <w:spacing w:after="0" w:line="249" w:lineRule="auto"/>
        <w:rPr>
          <w:sz w:val="20"/>
          <w:szCs w:val="20"/>
          <w:color w:val="auto"/>
        </w:rPr>
      </w:pPr>
      <w:r>
        <w:rPr>
          <w:rFonts w:ascii="Times New Roman" w:cs="Times New Roman" w:eastAsia="Times New Roman" w:hAnsi="Times New Roman"/>
          <w:sz w:val="21"/>
          <w:szCs w:val="21"/>
          <w:color w:val="auto"/>
        </w:rPr>
        <w:t>See the responses to Item (9) on the foregoing cover pages. This Schedule includes those securities beneficially owned by, or deemed beneficially owned by, BTC, BFC, and BFG (collectively, "BTC Reporting Units") that have been aggregated together in accordance with the Securities and Exchange Commission Release No. 34-39538</w:t>
      </w:r>
    </w:p>
    <w:p>
      <w:pPr>
        <w:spacing w:after="0" w:line="1" w:lineRule="exact"/>
        <w:rPr>
          <w:sz w:val="20"/>
          <w:szCs w:val="20"/>
          <w:color w:val="auto"/>
        </w:rPr>
      </w:pPr>
    </w:p>
    <w:p>
      <w:pPr>
        <w:ind w:left="920" w:right="140" w:hanging="912"/>
        <w:spacing w:after="0" w:line="232"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(January 12, 1998) (the "Release") for purposes of filing this Schedule. This Schedule does not include securities, if any, beneficially owned by, or deemed beneficially owned by, BTC, BFC or BFG or their respective subsidiaries or affiliates that has been disaggregated from that of the BTC Reporting Units in accordance with the Release. In accordance with Rule 13d-4 of the Act, the Reporting Persons expressly declare that the filing of this Schedule shall not be construed as an admission that a Reporting Person is, for purposes of Section 13(d) or 13(g) of the Act, the beneficial owner of any securities covered by this Schedule.</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foregoing cover pages. The percentage was calculated based upon 9,167,040 Shares of Common Stock outstanding at March 20, 2026 as reported by the Issuer in its Annual Report on Form 10-K for the year ended December 31, 2025.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(5) on the foregoing cover pages.</w:t>
      </w:r>
    </w:p>
    <w:p>
      <w:pPr>
        <w:sectPr>
          <w:pgSz w:w="11900" w:h="16838" w:orient="portrait"/>
          <w:cols w:equalWidth="0" w:num="1">
            <w:col w:w="11100"/>
          </w:cols>
          <w:pgMar w:left="360" w:top="193"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foregoing cover pages.</w:t>
      </w:r>
    </w:p>
    <w:p>
      <w:pPr>
        <w:spacing w:after="0" w:line="287" w:lineRule="exact"/>
        <w:rPr>
          <w:sz w:val="20"/>
          <w:szCs w:val="20"/>
          <w:color w:val="auto"/>
        </w:rPr>
      </w:pPr>
    </w:p>
    <w:p>
      <w:pPr>
        <w:ind w:right="5100" w:firstLine="6"/>
        <w:spacing w:after="0" w:line="509" w:lineRule="auto"/>
        <w:tabs>
          <w:tab w:leader="none" w:pos="37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foregoing cover pages.</w:t>
      </w:r>
    </w:p>
    <w:p>
      <w:pPr>
        <w:spacing w:after="0" w:line="1" w:lineRule="exact"/>
        <w:rPr>
          <w:rFonts w:ascii="Times New Roman" w:cs="Times New Roman" w:eastAsia="Times New Roman" w:hAnsi="Times New Roman"/>
          <w:sz w:val="21"/>
          <w:szCs w:val="21"/>
          <w:color w:val="auto"/>
        </w:rPr>
      </w:pPr>
    </w:p>
    <w:p>
      <w:pPr>
        <w:jc w:val="both"/>
        <w:ind w:right="5100" w:firstLine="6"/>
        <w:spacing w:after="0" w:line="509" w:lineRule="auto"/>
        <w:tabs>
          <w:tab w:leader="none" w:pos="36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foregoing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See the response to Item 3 above. BTC is owned directly by BFC. BFC is, in turn, owned by BFG, which is the ultimate parent company of BTC.</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545"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BAIRD TRUST Co</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C. Kaplan</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BAIRD FINANCIAL CORP</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L. Schultz</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p>
      <w:pPr>
        <w:spacing w:after="0" w:line="152"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Baird Financial Group, Inc.</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Paul L. Schultz</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Secretary</w:t>
      </w:r>
    </w:p>
    <w:p>
      <w:pPr>
        <w:spacing w:after="0" w:line="44"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04/14/2026</w:t>
      </w:r>
    </w:p>
    <w:sectPr>
      <w:pgSz w:w="11900" w:h="16838" w:orient="portrait"/>
      <w:cols w:equalWidth="0" w:num="1">
        <w:col w:w="11140"/>
      </w:cols>
      <w:pgMar w:left="360" w:top="409"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2026-04-14T13:30:23Z</dcterms:created>
  <dcterms:modified xsi:type="dcterms:W3CDTF">2026-04-14T13:30:23Z</dcterms:modified>
</cp:coreProperties>
</file>