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287-8k_sanara.htm"/>
      <w:bookmarkStart w:id="1" w:name="ksea03072878k_sanar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9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r>
        <w:rPr>
          <w:rFonts w:ascii="Times New Roman;Times;Serif" w:hAnsi="Times New Roman;Times;Serif"/>
          <w:b/>
          <w:i w:val="false"/>
          <w:caps w:val="false"/>
          <w:smallCaps w:val="false"/>
          <w:sz w:val="20"/>
        </w:rPr>
        <w:t xml:space="preserve">: </w:t>
      </w:r>
      <w:bookmarkStart w:id="3" w:name="xdx_90D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SANARA MEDTECH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3590"/>
        <w:gridCol w:w="60"/>
        <w:gridCol w:w="2210"/>
        <w:gridCol w:w="60"/>
        <w:gridCol w:w="1535"/>
      </w:tblGrid>
      <w:tr>
        <w:trPr/>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Texas</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930"/>
            <w:bookmarkEnd w:id="6"/>
            <w:r>
              <w:rPr>
                <w:rFonts w:ascii="Times New Roman;Times;Serif" w:hAnsi="Times New Roman;Times;Serif"/>
                <w:b/>
                <w:i w:val="false"/>
                <w:caps w:val="false"/>
                <w:smallCaps w:val="false"/>
                <w:sz w:val="20"/>
              </w:rPr>
              <w:t xml:space="preserve">001-39678 </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59-2219994</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b/>
                <w:sz w:val="20"/>
              </w:rPr>
            </w:pPr>
            <w:bookmarkStart w:id="8" w:name="xdx_90D_edei--EntityAddressAddressLine1_"/>
            <w:bookmarkEnd w:id="8"/>
            <w:r>
              <w:rPr>
                <w:b/>
                <w:sz w:val="20"/>
              </w:rPr>
              <w:t xml:space="preserve">1200 Summit Avenue, </w:t>
            </w:r>
            <w:bookmarkStart w:id="9" w:name="xdx_902_edei--EntityAddressAddressLine2_"/>
            <w:bookmarkEnd w:id="9"/>
            <w:r>
              <w:rPr>
                <w:b/>
                <w:sz w:val="20"/>
              </w:rPr>
              <w:t>Suite 414</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b/>
                <w:sz w:val="20"/>
              </w:rPr>
            </w:pPr>
            <w:bookmarkStart w:id="10" w:name="xdx_907_edei--EntityAddressCityOrTown_c2"/>
            <w:bookmarkEnd w:id="10"/>
            <w:r>
              <w:rPr>
                <w:b/>
                <w:sz w:val="20"/>
              </w:rPr>
              <w:t xml:space="preserve">Fort Worth, </w:t>
            </w:r>
            <w:bookmarkStart w:id="11" w:name="xdx_905_edei--EntityAddressStateOrProvin"/>
            <w:bookmarkEnd w:id="11"/>
            <w:r>
              <w:rPr>
                <w:b/>
                <w:sz w:val="20"/>
              </w:rPr>
              <w:t>Texas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b/>
                <w:sz w:val="20"/>
              </w:rPr>
            </w:pPr>
            <w:bookmarkStart w:id="12" w:name="xdx_906_edei--EntityAddressPostalZipCode"/>
            <w:bookmarkEnd w:id="12"/>
            <w:r>
              <w:rPr>
                <w:b/>
                <w:sz w:val="20"/>
              </w:rPr>
              <w:t>76102</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E_edei--CityAreaCode_c20260930__20"/>
      <w:bookmarkEnd w:id="13"/>
      <w:r>
        <w:rPr>
          <w:rFonts w:ascii="Times New Roman;Times;Serif" w:hAnsi="Times New Roman;Times;Serif"/>
          <w:b/>
          <w:i w:val="false"/>
          <w:caps w:val="false"/>
          <w:smallCaps w:val="false"/>
          <w:sz w:val="20"/>
        </w:rPr>
        <w:t xml:space="preserve">817) </w:t>
      </w:r>
      <w:bookmarkStart w:id="14" w:name="xdx_90D_edei--LocalPhoneNumber_c20260930"/>
      <w:bookmarkEnd w:id="14"/>
      <w:r>
        <w:rPr>
          <w:rFonts w:ascii="Times New Roman;Times;Serif" w:hAnsi="Times New Roman;Times;Serif"/>
          <w:b/>
          <w:i w:val="false"/>
          <w:caps w:val="false"/>
          <w:smallCaps w:val="false"/>
          <w:sz w:val="20"/>
        </w:rPr>
        <w:t>529-2300</w:t>
      </w:r>
    </w:p>
    <w:p>
      <w:pPr>
        <w:pStyle w:val="TextBody"/>
        <w:pBdr>
          <w:bottom w:val="single" w:sz="12"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ind w:left="0" w:right="0" w:hanging="0"/>
              <w:jc w:val="left"/>
              <w:rPr>
                <w:caps w:val="false"/>
                <w:smallCaps w:val="false"/>
              </w:rPr>
            </w:pPr>
            <w:bookmarkStart w:id="15" w:name="xdx_904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6" w:name="xdx_90F_edei--SolicitingMaterial_c202609"/>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0" w:type="dxa"/>
        <w:tblLayout w:type="fixed"/>
        <w:tblCellMar>
          <w:top w:w="0" w:type="dxa"/>
          <w:left w:w="0" w:type="dxa"/>
          <w:bottom w:w="28" w:type="dxa"/>
          <w:right w:w="0" w:type="dxa"/>
        </w:tblCellMar>
      </w:tblPr>
      <w:tblGrid>
        <w:gridCol w:w="2885"/>
        <w:gridCol w:w="60"/>
        <w:gridCol w:w="1340"/>
        <w:gridCol w:w="60"/>
        <w:gridCol w:w="3170"/>
      </w:tblGrid>
      <w:tr>
        <w:trPr/>
        <w:tc>
          <w:tcPr>
            <w:tcW w:w="28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28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C_edei--Security12bTitle_c20260930"/>
            <w:bookmarkEnd w:id="19"/>
            <w:r>
              <w:rPr>
                <w:rFonts w:ascii="Times New Roman;Times;Serif" w:hAnsi="Times New Roman;Times;Serif"/>
                <w:b/>
                <w:i w:val="false"/>
                <w:caps w:val="false"/>
                <w:smallCaps w:val="false"/>
                <w:sz w:val="20"/>
              </w:rPr>
              <w:t>Common Stock, $0.001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D_edei--TradingSymbol_c20260930__2"/>
            <w:bookmarkEnd w:id="20"/>
            <w:r>
              <w:rPr>
                <w:rFonts w:ascii="Times New Roman;Times;Serif" w:hAnsi="Times New Roman;Times;Serif"/>
                <w:b/>
                <w:i w:val="false"/>
                <w:caps w:val="false"/>
                <w:smallCaps w:val="false"/>
                <w:sz w:val="20"/>
              </w:rPr>
              <w:t>SMTI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A_edei--SecurityExchangeName_c2026"/>
            <w:bookmarkEnd w:id="21"/>
            <w:r>
              <w:rPr>
                <w:rFonts w:ascii="Times New Roman;Times;Serif" w:hAnsi="Times New Roman;Times;Serif"/>
                <w:b/>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Special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Sanara MedTech Inc., a Texas corporation ( “Sanara”), held a special meeting of shareholders (the “Special Meeting”) to vote on the proposals described in Sanara’s definitive proxy statement filed with the U.S. Securities and Exchange Commission on September 4, 2026 (the “Proxy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September 1, 2026, the record date for the Special Meeting (the “Record Date”), there were 9,188,035 shares of Sanara’s common stock, par value $0.001 per share (the “Common Stock”), outstanding, each of which was entitled to one vote on each proposal at the Special Meeting. At the Special Meeting, a total of 6,411,427 shares of Common Stock, representing approximately 69.78% of the outstanding shares of Common Stock, were present in person or represented by proxy, constituting a quorum to conduct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Sanara’s shareholders voted on the following matters: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32"/>
        <w:gridCol w:w="1003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approve and adopt the Agreement and Plan of Merger, dated as of July 29, 2026 (as it may be amended, supplemented, waived or otherwise modified in accordance with its terms, the “Merger Agreement”), by and among Sanara, MiMedx Group, Inc., a Florida corporation (“MiMedx”) and Mustang Merger Sub, Inc., a Texas corporation and a wholly-owned subsidiary of MiMedx (“Merger Sub”), pursuant to which, among other things, Merger Sub will merge with and into Sanara, with Sanara surviving as a wholly-owned subsidiary of MiMedx (the “Merger”), and approve the consummation of the transactions contemplated by the Merger Agreement, including the Merger (“Proposal No. 1”);</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48"/>
        <w:gridCol w:w="10019"/>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approve, on a non-binding, advisory basis, the compensation that may be paid or become payable to Sanara’s named executive officers that is based on or otherwise relates to the Merger (“Proposal No. 2”); and</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49"/>
        <w:gridCol w:w="10018"/>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approve one or more adjournments of the Special Meeting, if necessary, to solicit additional proxies if there are not sufficient votes cast at the Special Meeting to approve Proposal No. 1 (“Proposal No. 3”).</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for each proposal are described below. Proposal No. 3 was not submitted to Sanara’s shareholders for approval at the Special Meeting because there were sufficient votes to approve Proposal No. 1. For more information on each of these proposals, see the Proxy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No. 1. </w:t>
      </w:r>
      <w:r>
        <w:rPr>
          <w:rFonts w:ascii="Times New Roman;Times;Serif" w:hAnsi="Times New Roman;Times;Serif"/>
          <w:b w:val="false"/>
          <w:i w:val="false"/>
          <w:caps w:val="false"/>
          <w:smallCaps w:val="false"/>
          <w:sz w:val="20"/>
        </w:rPr>
        <w:t>Sanara’s shareholders approved Proposal No. 1. The votes cast on Proposal No. 1 were as follows: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28" w:type="dxa"/>
          <w:right w:w="0" w:type="dxa"/>
        </w:tblCellMar>
      </w:tblPr>
      <w:tblGrid>
        <w:gridCol w:w="995"/>
        <w:gridCol w:w="60"/>
        <w:gridCol w:w="800"/>
        <w:gridCol w:w="60"/>
        <w:gridCol w:w="815"/>
        <w:gridCol w:w="60"/>
        <w:gridCol w:w="1910"/>
      </w:tblGrid>
      <w:tr>
        <w:trPr/>
        <w:tc>
          <w:tcPr>
            <w:tcW w:w="99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995" w:type="dxa"/>
            <w:tcBorders/>
            <w:shd w:fill="CCEEFF" w:val="clear"/>
            <w:tcMar>
              <w:bottom w:w="0" w:type="dxa"/>
            </w:tcMar>
            <w:vAlign w:val="center"/>
          </w:tcPr>
          <w:p>
            <w:pPr>
              <w:pStyle w:val="TableContents"/>
              <w:bidi w:val="0"/>
              <w:spacing w:before="0" w:after="283"/>
              <w:jc w:val="center"/>
              <w:rPr/>
            </w:pPr>
            <w:r>
              <w:rPr/>
              <w:t>6,372,989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1,944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36,494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N/A</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No. 2. </w:t>
      </w:r>
      <w:r>
        <w:rPr>
          <w:rFonts w:ascii="Times New Roman;Times;Serif" w:hAnsi="Times New Roman;Times;Serif"/>
          <w:b w:val="false"/>
          <w:i w:val="false"/>
          <w:caps w:val="false"/>
          <w:smallCaps w:val="false"/>
          <w:sz w:val="20"/>
        </w:rPr>
        <w:t>Sanara’s shareholders approved Proposal No. 2. The votes cast on Proposal No. 2 were as follows: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28" w:type="dxa"/>
          <w:right w:w="0" w:type="dxa"/>
        </w:tblCellMar>
      </w:tblPr>
      <w:tblGrid>
        <w:gridCol w:w="995"/>
        <w:gridCol w:w="60"/>
        <w:gridCol w:w="800"/>
        <w:gridCol w:w="60"/>
        <w:gridCol w:w="815"/>
        <w:gridCol w:w="60"/>
        <w:gridCol w:w="1910"/>
      </w:tblGrid>
      <w:tr>
        <w:trPr/>
        <w:tc>
          <w:tcPr>
            <w:tcW w:w="99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995" w:type="dxa"/>
            <w:tcBorders/>
            <w:shd w:fill="CCEEFF" w:val="clear"/>
            <w:tcMar>
              <w:bottom w:w="0" w:type="dxa"/>
            </w:tcMar>
            <w:vAlign w:val="center"/>
          </w:tcPr>
          <w:p>
            <w:pPr>
              <w:pStyle w:val="TableContents"/>
              <w:bidi w:val="0"/>
              <w:spacing w:before="0" w:after="283"/>
              <w:jc w:val="center"/>
              <w:rPr/>
            </w:pPr>
            <w:r>
              <w:rPr/>
              <w:t>5,841,470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75,247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494,710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N/A</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Update on Regulatory Approvals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MiMedx and Sanara filed their respective notification and report forms pursuant to the Hart-Scott-Rodino Antitrust Improvements Act of 1976, as amended (the “HSR Act”) on August 12, 2026. In order to provide the Federal Trade Commission with additional time for review, on September 11, 2026, MiMedx, in consultation with Sanara, voluntarily withdrew its notification and report form pursuant to 16 C.F.R. § 803.12 and refiled its notification and report form on September 15, 2026, commencing a new 30-calendar-day waiting period under the HSR Act. Unless extended or earlier terminated, the waiting period under the HSR Act will expire at 11:59 p.m. Eastern Time on October 15, 2026. The consummation of the Merger remains subject to the satisfaction or waiver of the other conditions set forth in the Merger Agreement</w:t>
      </w:r>
      <w:r>
        <w:rPr>
          <w:rFonts w:ascii="Times New Roman;Times;Serif" w:hAnsi="Times New Roman;Times;Serif"/>
          <w:b/>
          <w:i/>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648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2180"/>
        <w:gridCol w:w="321"/>
        <w:gridCol w:w="1903"/>
      </w:tblGrid>
      <w:tr>
        <w:trPr/>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22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MEDTECH INC.</w:t>
            </w:r>
          </w:p>
        </w:tc>
      </w:tr>
      <w:tr>
        <w:trPr/>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321" w:type="dxa"/>
            <w:tcBorders/>
            <w:vAlign w:val="center"/>
          </w:tcPr>
          <w:p>
            <w:pPr>
              <w:pStyle w:val="TableContents"/>
              <w:bidi w:val="0"/>
              <w:spacing w:before="0" w:after="283"/>
              <w:jc w:val="left"/>
              <w:rPr>
                <w:caps w:val="false"/>
                <w:smallCaps w:val="false"/>
              </w:rPr>
            </w:pPr>
            <w:r>
              <w:rPr>
                <w:caps w:val="false"/>
                <w:smallCaps w:val="false"/>
              </w:rPr>
              <w:t> </w:t>
            </w:r>
          </w:p>
        </w:tc>
        <w:tc>
          <w:tcPr>
            <w:tcW w:w="19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tc>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0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Elizabeth B. Taylor</w:t>
            </w:r>
          </w:p>
        </w:tc>
      </w:tr>
      <w:tr>
        <w:trPr/>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321" w:type="dxa"/>
            <w:tcBorders/>
            <w:vAlign w:val="center"/>
          </w:tcPr>
          <w:p>
            <w:pPr>
              <w:pStyle w:val="TableContents"/>
              <w:bidi w:val="0"/>
              <w:spacing w:before="0" w:after="283"/>
              <w:jc w:val="left"/>
              <w:rPr>
                <w:caps w:val="false"/>
                <w:smallCaps w:val="false"/>
              </w:rPr>
            </w:pPr>
            <w:r>
              <w:rPr>
                <w:caps w:val="false"/>
                <w:smallCaps w:val="false"/>
              </w:rPr>
              <w:t> </w:t>
            </w:r>
          </w:p>
        </w:tc>
        <w:tc>
          <w:tcPr>
            <w:tcW w:w="190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B. Taylor</w:t>
            </w:r>
          </w:p>
        </w:tc>
      </w:tr>
      <w:tr>
        <w:trPr/>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321" w:type="dxa"/>
            <w:tcBorders/>
            <w:vAlign w:val="center"/>
          </w:tcPr>
          <w:p>
            <w:pPr>
              <w:pStyle w:val="TableContents"/>
              <w:bidi w:val="0"/>
              <w:spacing w:before="0" w:after="283"/>
              <w:jc w:val="left"/>
              <w:rPr>
                <w:caps w:val="false"/>
                <w:smallCaps w:val="false"/>
              </w:rPr>
            </w:pPr>
            <w:r>
              <w:rPr>
                <w:caps w:val="false"/>
                <w:smallCaps w:val="false"/>
              </w:rPr>
              <w:t> </w:t>
            </w:r>
          </w:p>
        </w:tc>
        <w:tc>
          <w:tcPr>
            <w:tcW w:w="1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4977</Characters>
  <CharactersWithSpaces>5906</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