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00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Myers Keith G</w:t>
              </w:r>
            </w:hyperlink>
          </w:p>
        </w:tc>
        <w:tc>
          <w:tcPr>
            <w:tcW w:w="16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Sanara MedTech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SMTI</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000" w:type="dxa"/>
            <w:vAlign w:val="bottom"/>
            <w:gridSpan w:val="3"/>
            <w:vMerge w:val="continue"/>
          </w:tcPr>
          <w:p>
            <w:pPr>
              <w:spacing w:after="0"/>
              <w:rPr>
                <w:sz w:val="6"/>
                <w:szCs w:val="6"/>
                <w:color w:val="auto"/>
              </w:rPr>
            </w:pPr>
          </w:p>
        </w:tc>
        <w:tc>
          <w:tcPr>
            <w:tcW w:w="16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0" w:type="dxa"/>
            <w:vAlign w:val="bottom"/>
            <w:tcBorders>
              <w:bottom w:val="single" w:sz="8" w:color="0000EE"/>
            </w:tcBorders>
          </w:tcPr>
          <w:p>
            <w:pPr>
              <w:spacing w:after="0"/>
              <w:rPr>
                <w:sz w:val="6"/>
                <w:szCs w:val="6"/>
                <w:color w:val="auto"/>
              </w:rPr>
            </w:pPr>
          </w:p>
        </w:tc>
        <w:tc>
          <w:tcPr>
            <w:tcW w:w="194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000" w:type="dxa"/>
            <w:vAlign w:val="bottom"/>
            <w:gridSpan w:val="3"/>
            <w:vMerge w:val="continue"/>
          </w:tcPr>
          <w:p>
            <w:pPr>
              <w:spacing w:after="0"/>
              <w:rPr>
                <w:sz w:val="5"/>
                <w:szCs w:val="5"/>
                <w:color w:val="auto"/>
              </w:rPr>
            </w:pPr>
          </w:p>
        </w:tc>
        <w:tc>
          <w:tcPr>
            <w:tcW w:w="16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94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1000" w:type="dxa"/>
            <w:vAlign w:val="bottom"/>
            <w:tcBorders>
              <w:top w:val="single" w:sz="8" w:color="0000EE"/>
            </w:tcBorders>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720" w:type="dxa"/>
            <w:vAlign w:val="bottom"/>
          </w:tcPr>
          <w:p>
            <w:pPr>
              <w:spacing w:after="0"/>
              <w:rPr>
                <w:sz w:val="6"/>
                <w:szCs w:val="6"/>
                <w:color w:val="auto"/>
              </w:rPr>
            </w:pPr>
          </w:p>
        </w:tc>
        <w:tc>
          <w:tcPr>
            <w:tcW w:w="16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94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720" w:type="dxa"/>
            <w:vAlign w:val="bottom"/>
            <w:tcBorders>
              <w:bottom w:val="single" w:sz="8" w:color="9A9A9A"/>
            </w:tcBorders>
          </w:tcPr>
          <w:p>
            <w:pPr>
              <w:spacing w:after="0"/>
              <w:rPr>
                <w:sz w:val="13"/>
                <w:szCs w:val="13"/>
                <w:color w:val="auto"/>
              </w:rPr>
            </w:pPr>
          </w:p>
        </w:tc>
        <w:tc>
          <w:tcPr>
            <w:tcW w:w="164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00" w:type="dxa"/>
            <w:vAlign w:val="bottom"/>
            <w:tcBorders>
              <w:top w:val="single" w:sz="8" w:color="EEEEEE"/>
            </w:tcBorders>
          </w:tcPr>
          <w:p>
            <w:pPr>
              <w:spacing w:after="0"/>
              <w:rPr>
                <w:sz w:val="2"/>
                <w:szCs w:val="2"/>
                <w:color w:val="auto"/>
              </w:rPr>
            </w:pPr>
          </w:p>
        </w:tc>
        <w:tc>
          <w:tcPr>
            <w:tcW w:w="280" w:type="dxa"/>
            <w:vAlign w:val="bottom"/>
            <w:tcBorders>
              <w:top w:val="single" w:sz="8" w:color="EEEEEE"/>
            </w:tcBorders>
          </w:tcPr>
          <w:p>
            <w:pPr>
              <w:spacing w:after="0"/>
              <w:rPr>
                <w:sz w:val="2"/>
                <w:szCs w:val="2"/>
                <w:color w:val="auto"/>
              </w:rPr>
            </w:pPr>
          </w:p>
        </w:tc>
        <w:tc>
          <w:tcPr>
            <w:tcW w:w="720" w:type="dxa"/>
            <w:vAlign w:val="bottom"/>
            <w:tcBorders>
              <w:top w:val="single" w:sz="8" w:color="EEEEEE"/>
            </w:tcBorders>
          </w:tcPr>
          <w:p>
            <w:pPr>
              <w:spacing w:after="0"/>
              <w:rPr>
                <w:sz w:val="2"/>
                <w:szCs w:val="2"/>
                <w:color w:val="auto"/>
              </w:rPr>
            </w:pPr>
          </w:p>
        </w:tc>
        <w:tc>
          <w:tcPr>
            <w:tcW w:w="164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100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000" w:type="dxa"/>
            <w:vAlign w:val="bottom"/>
            <w:gridSpan w:val="2"/>
            <w:vMerge w:val="restart"/>
          </w:tcPr>
          <w:p>
            <w:pPr>
              <w:ind w:left="220"/>
              <w:spacing w:after="0"/>
              <w:rPr>
                <w:sz w:val="20"/>
                <w:szCs w:val="20"/>
                <w:color w:val="auto"/>
              </w:rPr>
            </w:pPr>
            <w:r>
              <w:rPr>
                <w:rFonts w:ascii="Arial" w:cs="Arial" w:eastAsia="Arial" w:hAnsi="Arial"/>
                <w:sz w:val="13"/>
                <w:szCs w:val="13"/>
                <w:color w:val="auto"/>
              </w:rPr>
              <w:t>(First)</w:t>
            </w:r>
          </w:p>
        </w:tc>
        <w:tc>
          <w:tcPr>
            <w:tcW w:w="1640" w:type="dxa"/>
            <w:vAlign w:val="bottom"/>
            <w:vMerge w:val="restart"/>
          </w:tcPr>
          <w:p>
            <w:pPr>
              <w:ind w:left="4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1000" w:type="dxa"/>
            <w:vAlign w:val="bottom"/>
            <w:vMerge w:val="continue"/>
          </w:tcPr>
          <w:p>
            <w:pPr>
              <w:spacing w:after="0"/>
              <w:rPr>
                <w:sz w:val="8"/>
                <w:szCs w:val="8"/>
                <w:color w:val="auto"/>
              </w:rPr>
            </w:pPr>
          </w:p>
        </w:tc>
        <w:tc>
          <w:tcPr>
            <w:tcW w:w="1000" w:type="dxa"/>
            <w:vAlign w:val="bottom"/>
            <w:gridSpan w:val="2"/>
            <w:vMerge w:val="continue"/>
          </w:tcPr>
          <w:p>
            <w:pPr>
              <w:spacing w:after="0"/>
              <w:rPr>
                <w:sz w:val="8"/>
                <w:szCs w:val="8"/>
                <w:color w:val="auto"/>
              </w:rPr>
            </w:pPr>
          </w:p>
        </w:tc>
        <w:tc>
          <w:tcPr>
            <w:tcW w:w="1640" w:type="dxa"/>
            <w:vAlign w:val="bottom"/>
            <w:vMerge w:val="continue"/>
          </w:tcPr>
          <w:p>
            <w:pPr>
              <w:spacing w:after="0"/>
              <w:rPr>
                <w:sz w:val="8"/>
                <w:szCs w:val="8"/>
                <w:color w:val="auto"/>
              </w:rPr>
            </w:pPr>
          </w:p>
        </w:tc>
        <w:tc>
          <w:tcPr>
            <w:tcW w:w="196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06/04/2026</w:t>
            </w:r>
          </w:p>
        </w:tc>
        <w:tc>
          <w:tcPr>
            <w:tcW w:w="194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00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1200 SUMMIT AVE</w:t>
            </w:r>
          </w:p>
        </w:tc>
        <w:tc>
          <w:tcPr>
            <w:tcW w:w="1640" w:type="dxa"/>
            <w:vAlign w:val="bottom"/>
          </w:tcPr>
          <w:p>
            <w:pPr>
              <w:spacing w:after="0"/>
              <w:rPr>
                <w:sz w:val="11"/>
                <w:szCs w:val="11"/>
                <w:color w:val="auto"/>
              </w:rPr>
            </w:pPr>
          </w:p>
        </w:tc>
        <w:tc>
          <w:tcPr>
            <w:tcW w:w="1960" w:type="dxa"/>
            <w:vAlign w:val="bottom"/>
            <w:gridSpan w:val="3"/>
            <w:vMerge w:val="continue"/>
          </w:tcPr>
          <w:p>
            <w:pPr>
              <w:spacing w:after="0"/>
              <w:rPr>
                <w:sz w:val="11"/>
                <w:szCs w:val="11"/>
                <w:color w:val="auto"/>
              </w:rPr>
            </w:pPr>
          </w:p>
        </w:tc>
        <w:tc>
          <w:tcPr>
            <w:tcW w:w="194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000" w:type="dxa"/>
            <w:vAlign w:val="bottom"/>
            <w:gridSpan w:val="3"/>
            <w:vMerge w:val="continue"/>
          </w:tcPr>
          <w:p>
            <w:pPr>
              <w:spacing w:after="0"/>
              <w:rPr>
                <w:sz w:val="12"/>
                <w:szCs w:val="12"/>
                <w:color w:val="auto"/>
              </w:rPr>
            </w:pPr>
          </w:p>
        </w:tc>
        <w:tc>
          <w:tcPr>
            <w:tcW w:w="1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10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SUITE 414</w:t>
            </w:r>
          </w:p>
        </w:tc>
        <w:tc>
          <w:tcPr>
            <w:tcW w:w="2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800" w:type="dxa"/>
            <w:vAlign w:val="bottom"/>
            <w:tcBorders>
              <w:bottom w:val="single" w:sz="8" w:color="2C2C2C"/>
            </w:tcBorders>
          </w:tcPr>
          <w:p>
            <w:pPr>
              <w:spacing w:after="0"/>
              <w:rPr>
                <w:sz w:val="12"/>
                <w:szCs w:val="12"/>
                <w:color w:val="auto"/>
              </w:rPr>
            </w:pPr>
          </w:p>
        </w:tc>
        <w:tc>
          <w:tcPr>
            <w:tcW w:w="194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100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7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80" w:type="dxa"/>
            <w:vAlign w:val="bottom"/>
          </w:tcPr>
          <w:p>
            <w:pPr>
              <w:spacing w:after="0"/>
              <w:rPr>
                <w:sz w:val="8"/>
                <w:szCs w:val="8"/>
                <w:color w:val="auto"/>
              </w:rPr>
            </w:pPr>
          </w:p>
        </w:tc>
        <w:tc>
          <w:tcPr>
            <w:tcW w:w="720" w:type="dxa"/>
            <w:vAlign w:val="bottom"/>
          </w:tcPr>
          <w:p>
            <w:pPr>
              <w:spacing w:after="0"/>
              <w:rPr>
                <w:sz w:val="8"/>
                <w:szCs w:val="8"/>
                <w:color w:val="auto"/>
              </w:rPr>
            </w:pPr>
          </w:p>
        </w:tc>
        <w:tc>
          <w:tcPr>
            <w:tcW w:w="16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4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8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20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FORT WORTH  TX</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76102</w:t>
            </w:r>
          </w:p>
        </w:tc>
      </w:tr>
      <w:tr>
        <w:trPr>
          <w:trHeight w:val="155"/>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(City)</w:t>
            </w:r>
          </w:p>
        </w:tc>
        <w:tc>
          <w:tcPr>
            <w:tcW w:w="1220" w:type="dxa"/>
            <w:vAlign w:val="bottom"/>
          </w:tcPr>
          <w:p>
            <w:pPr>
              <w:ind w:left="4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06/04/2026</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7"/>
              </w:rPr>
              <w:t>4,385</w:t>
            </w:r>
            <w:r>
              <w:rPr>
                <w:rFonts w:ascii="Times New Roman" w:cs="Times New Roman" w:eastAsia="Times New Roman" w:hAnsi="Times New Roman"/>
                <w:sz w:val="22"/>
                <w:szCs w:val="22"/>
                <w:color w:val="008000"/>
                <w:w w:val="97"/>
                <w:vertAlign w:val="superscript"/>
              </w:rPr>
              <w:t>(1)</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560"/>
              <w:spacing w:after="0"/>
              <w:rPr>
                <w:sz w:val="20"/>
                <w:szCs w:val="20"/>
                <w:color w:val="auto"/>
              </w:rPr>
            </w:pPr>
            <w:r>
              <w:rPr>
                <w:rFonts w:ascii="Times New Roman" w:cs="Times New Roman" w:eastAsia="Times New Roman" w:hAnsi="Times New Roman"/>
                <w:sz w:val="17"/>
                <w:szCs w:val="17"/>
                <w:color w:val="0000FF"/>
              </w:rPr>
              <w:t>9,325</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16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of restricted stock granted by Sanara MedTech Inc. (the "Issuer") to the reporting person pursuant to the Sanara MedTech Inc. 2024 Omnibus Long-Term Incentive Plan. The restricted stock will vest on the earlier of (i) the date of the 2027 annual shareholder meeting or (ii) June 04, 2027, provided that the reporting person is providing certain services to the Issuer through such date.</w:t>
      </w:r>
    </w:p>
    <w:p>
      <w:pPr>
        <w:spacing w:after="0" w:line="25"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1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/s/ Keith G. Myers</w:t>
            </w: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06/05/2026</w:t>
            </w: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322565" TargetMode="External"/><Relationship Id="rId14" Type="http://schemas.openxmlformats.org/officeDocument/2006/relationships/hyperlink" Target="http://www.sec.gov/cgi-bin/browse-edgar?action=getcompany&amp;CIK=000071425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2026-06-05T19:32:04Z</dcterms:created>
  <dcterms:modified xsi:type="dcterms:W3CDTF">2026-06-05T19:32:04Z</dcterms:modified>
</cp:coreProperties>
</file>