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425.htm"/>
      <w:bookmarkStart w:id="1" w:name="ksform42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to be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001-39678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communication was made by Sanara MedTech Inc. in connection with its proposed acquisition by MiMedx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 Analyst Courtesy Email</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t>
      </w:r>
      <w:r>
        <w:rPr>
          <w:rFonts w:ascii="Times New Roman;Times;Serif" w:hAnsi="Times New Roman;Times;Serif"/>
          <w:b w:val="false"/>
          <w:i w:val="false"/>
          <w:caps w:val="false"/>
          <w:smallCaps w:val="false"/>
          <w:sz w:val="20"/>
          <w:u w:val="single"/>
        </w:rPr>
        <w:t>announced</w:t>
      </w:r>
      <w:r>
        <w:rPr>
          <w:rFonts w:ascii="Times New Roman;Times;Serif" w:hAnsi="Times New Roman;Times;Serif"/>
          <w:b w:val="false"/>
          <w:i w:val="false"/>
          <w:caps w:val="false"/>
          <w:smallCaps w:val="false"/>
          <w:sz w:val="20"/>
        </w:rPr>
        <w:t xml:space="preserve"> that Sanara has entered into a definitive agreement to be acquired by MIMEDX in a cash and stock transaction that values Sanara at approximately $350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Sanara shareholders will receive $33.00 in cash and 0.4735 shares of MIMEDX common stock for each share of Sanara common stock they own, which represents a value of $2.00 per share, calculated based on the average closing price of MIMEDX common stock of $4.22 for the last five consecutive trading days through and including July 28, 2026. The merger consideration represents a premium of 46% to Sanara’s 30-day volume weighted average share price as of July 28, 2026. The cash and stock structure allows Sanara shareholders to receive immediate cash value at closing while also participating in the potential upside of the combined company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follows the conclusion of a strategic review process overseen by Sanara’s Board of Directors, with the assistance of independent financial and legal advisors. The transaction, which has been unanimously approved by the board of directors of both companies, is expected to close by the end of the year, subject to approval by Sanara shareholders, the receipt of required regulatory approvals and other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MIMEDX will be hosting its second quarter 2026 operating and financial results conference call this afternoon at 4:30pm Eastern Time, during which it will discuss the announcement. All transaction-related materials, including the presentation and webcast link, can be accessed at https://investors.mimedx.com/.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would like to discuss the announcement in more detail, please contact [me / John Nesbett at </w:t>
      </w:r>
      <w:r>
        <w:rPr>
          <w:rFonts w:ascii="Times New Roman;Times;Serif" w:hAnsi="Times New Roman;Times;Serif"/>
          <w:b w:val="false"/>
          <w:i w:val="false"/>
          <w:caps w:val="false"/>
          <w:smallCaps w:val="false"/>
          <w:sz w:val="20"/>
          <w:u w:val="single"/>
        </w:rPr>
        <w:t>jnesbett@imsinvestorrelations.com</w:t>
      </w:r>
      <w:r>
        <w:rPr>
          <w:rFonts w:ascii="Times New Roman;Times;Serif" w:hAnsi="Times New Roman;Times;Serif"/>
          <w:b w:val="false"/>
          <w:i w:val="false"/>
          <w:caps w:val="false"/>
          <w:smallCaps w:val="false"/>
          <w:sz w:val="20"/>
        </w:rPr>
        <w:t>] to coordinate time in the coming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as always, for your continued support of Sanara.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Walter Frank</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business combination transaction between MiMedx Group, Inc. (“MiMedx”) and Sanara Medtech Inc. (“Sanara”). This communication contains certain forward-looking statements within the meaning of the Private Securities Litigation Reform Act of 1995, Section 27A of the Securities Act of 1933, as amended, and Section 21E of the Securities Exchange Act of 1934, as amended, which include all statements that do not relate solely to historical or current facts, such as statements regarding the timing of the proposed transaction and the anticipated benefits of the proposed transaction. These forward-looking statements are and will be, subject to many risks, uncertainties and factors which may cause future events to be materially different from these forward-looking statements or anything implied therein. These risks and uncertainties include, but are not limited to: uncertainties as to the timing of the proposed transaction; the timing, receipt and terms and conditions of any required governmental or regulatory approvals of the proposed transaction that could reduce the anticipated benefits of or cause the parties to abandon the proposed transaction; risks related to the satisfaction of the conditions to closing the proposed transaction (including the failure to obtain necessary regulatory approvals or the approval of Sanara’s stockholders) in the anticipated timeframe or at all; the risk that any announcements relating to the proposed transaction could have adverse effects on the market price of Sanara’s or MiMedx’s stock; disruption from the proposed transaction making it more difficult to maintain business and operational relationships, including retaining and hiring key personnel; the occurrence of any event, change or other circumstances that could give rise to the termination of the merger agreement, including in certain circumstances requiring Sanara to pay a termination fee; risks related to disruption of management’s attention from Sanara’s ongoing business operations due to the proposed transaction; significant transaction costs; the risk of litigation and/or regulatory actions related to the proposed transaction; global economic conditions; adverse industry and market conditions; the ability to retain management and other personnel; risks associated with the development and process for obtaining regulatory approval for new products, the extent of product demand, market and customer acceptance, the effect of economic conditions, competition, pricing, uncertainties associated with the development and process for obtaining regulatory approval for new products, the ability to consummate and integrate acquisitions, and other risks, contingencies and uncertainties detailed in Sanara’s most recent annual report on Form 10-K and subsequent reports filed with the Securities and Exchange Commission (the “SEC”). While the list of risks and uncertainties presented here is, and the discussion of risks and uncertainties to be presented in the proxy statement that will be filed by Sanara with the SEC in connection with the proposed transaction will be, considered representative, no such list or discussion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and legal liability to third parties and similar risks, any of which could have a material adverse effect on the completion of the proposed transaction and/or Sanara’s consolidated financial condition, results of operations, credit rating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significant uncertainties in these forward-looking statements, Sanara cannot assure you that the forward-looking statements in this communication will prove to be accurate, and you should not regard these statements as a representation or warranty by Sanara, its directors, officers or employees or any other person that Sanara will achieve its objectives and plans in any specified time frame, or at all. Any forward-looking statements in this communication are based upon information available to Sanara on the date of this communication. Subject to applicable law, Sanara does not undertake to publicly update or revise its forward-looking statements.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w:t>
      </w:r>
      <w:r>
        <w:rPr>
          <w:rFonts w:ascii="Times New Roman;Times;Serif" w:hAnsi="Times New Roman;Times;Serif"/>
          <w:b w:val="false"/>
          <w:i w:val="false"/>
          <w:caps w:val="false"/>
          <w:smallCaps w:val="false"/>
          <w:sz w:val="20"/>
          <w:u w:val="single"/>
        </w:rPr>
        <w:t>https://ir.sanaramedtech.com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1538</Words>
  <Characters>8838</Characters>
  <CharactersWithSpaces>10382</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