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27DE" w14:textId="27A35447" w:rsidR="00E82D59" w:rsidRDefault="00E82D59">
      <w:pPr>
        <w:rPr>
          <w:rStyle w:val="Strong"/>
          <w:rFonts w:ascii="Helvetica" w:hAnsi="Helvetica" w:cs="Helvetica"/>
          <w:sz w:val="21"/>
          <w:szCs w:val="21"/>
          <w:shd w:val="clear" w:color="auto" w:fill="FFFFFF"/>
        </w:rPr>
      </w:pPr>
      <w:r>
        <w:rPr>
          <w:rStyle w:val="BalloonTextChar"/>
          <w:rFonts w:ascii="Helvetica" w:hAnsi="Helvetica" w:cs="Helvetica"/>
          <w:noProof/>
          <w:sz w:val="21"/>
          <w:szCs w:val="21"/>
          <w:shd w:val="clear" w:color="auto" w:fill="FFFFFF"/>
        </w:rPr>
        <w:drawing>
          <wp:inline distT="0" distB="0" distL="0" distR="0" wp14:anchorId="3FE4FF76" wp14:editId="4F291946">
            <wp:extent cx="2190750" cy="730250"/>
            <wp:effectExtent l="0" t="0" r="0" b="0"/>
            <wp:docPr id="1" name="Picture 1" descr="SMT-Full-Horiz_CMYK-Ful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T-Full-Horiz_CMYK-Full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730250"/>
                    </a:xfrm>
                    <a:prstGeom prst="rect">
                      <a:avLst/>
                    </a:prstGeom>
                    <a:noFill/>
                    <a:ln>
                      <a:noFill/>
                    </a:ln>
                  </pic:spPr>
                </pic:pic>
              </a:graphicData>
            </a:graphic>
          </wp:inline>
        </w:drawing>
      </w:r>
    </w:p>
    <w:p w14:paraId="309C52AC" w14:textId="39A3B185" w:rsidR="004045C5" w:rsidRDefault="005F1352">
      <w:pPr>
        <w:rPr>
          <w:rStyle w:val="Strong"/>
          <w:rFonts w:ascii="Helvetica" w:hAnsi="Helvetica" w:cs="Helvetica"/>
          <w:sz w:val="21"/>
          <w:szCs w:val="21"/>
          <w:shd w:val="clear" w:color="auto" w:fill="FFFFFF"/>
        </w:rPr>
      </w:pPr>
      <w:r>
        <w:rPr>
          <w:rStyle w:val="Strong"/>
          <w:rFonts w:ascii="Helvetica" w:hAnsi="Helvetica" w:cs="Helvetica"/>
          <w:sz w:val="21"/>
          <w:szCs w:val="21"/>
          <w:shd w:val="clear" w:color="auto" w:fill="FFFFFF"/>
        </w:rPr>
        <w:t xml:space="preserve">Sanara MedTech Inc. Announces </w:t>
      </w:r>
      <w:r w:rsidR="005F73AB">
        <w:rPr>
          <w:rStyle w:val="Strong"/>
          <w:rFonts w:ascii="Helvetica" w:hAnsi="Helvetica" w:cs="Helvetica"/>
          <w:sz w:val="21"/>
          <w:szCs w:val="21"/>
          <w:shd w:val="clear" w:color="auto" w:fill="FFFFFF"/>
        </w:rPr>
        <w:t>First</w:t>
      </w:r>
      <w:r w:rsidR="005A2820">
        <w:rPr>
          <w:rStyle w:val="Strong"/>
          <w:rFonts w:ascii="Helvetica" w:hAnsi="Helvetica" w:cs="Helvetica"/>
          <w:sz w:val="21"/>
          <w:szCs w:val="21"/>
          <w:shd w:val="clear" w:color="auto" w:fill="FFFFFF"/>
        </w:rPr>
        <w:t xml:space="preserve"> Quarter </w:t>
      </w:r>
      <w:r>
        <w:rPr>
          <w:rStyle w:val="Strong"/>
          <w:rFonts w:ascii="Helvetica" w:hAnsi="Helvetica" w:cs="Helvetica"/>
          <w:sz w:val="21"/>
          <w:szCs w:val="21"/>
          <w:shd w:val="clear" w:color="auto" w:fill="FFFFFF"/>
        </w:rPr>
        <w:t>20</w:t>
      </w:r>
      <w:r w:rsidR="00981BB6">
        <w:rPr>
          <w:rStyle w:val="Strong"/>
          <w:rFonts w:ascii="Helvetica" w:hAnsi="Helvetica" w:cs="Helvetica"/>
          <w:sz w:val="21"/>
          <w:szCs w:val="21"/>
          <w:shd w:val="clear" w:color="auto" w:fill="FFFFFF"/>
        </w:rPr>
        <w:t>2</w:t>
      </w:r>
      <w:r w:rsidR="005F73AB">
        <w:rPr>
          <w:rStyle w:val="Strong"/>
          <w:rFonts w:ascii="Helvetica" w:hAnsi="Helvetica" w:cs="Helvetica"/>
          <w:sz w:val="21"/>
          <w:szCs w:val="21"/>
          <w:shd w:val="clear" w:color="auto" w:fill="FFFFFF"/>
        </w:rPr>
        <w:t>4</w:t>
      </w:r>
      <w:r>
        <w:rPr>
          <w:rStyle w:val="Strong"/>
          <w:rFonts w:ascii="Helvetica" w:hAnsi="Helvetica" w:cs="Helvetica"/>
          <w:sz w:val="21"/>
          <w:szCs w:val="21"/>
          <w:shd w:val="clear" w:color="auto" w:fill="FFFFFF"/>
        </w:rPr>
        <w:t xml:space="preserve"> Results</w:t>
      </w:r>
    </w:p>
    <w:p w14:paraId="756FA097" w14:textId="5E46D488" w:rsidR="004045C5" w:rsidRDefault="005F1352" w:rsidP="00CC2714">
      <w:pPr>
        <w:jc w:val="both"/>
        <w:rPr>
          <w:rFonts w:ascii="Helvetica" w:hAnsi="Helvetica" w:cs="Helvetica"/>
          <w:sz w:val="21"/>
          <w:szCs w:val="21"/>
          <w:shd w:val="clear" w:color="auto" w:fill="FFFFFF"/>
        </w:rPr>
      </w:pPr>
      <w:r>
        <w:rPr>
          <w:rStyle w:val="Strong"/>
          <w:rFonts w:ascii="Helvetica" w:hAnsi="Helvetica" w:cs="Helvetica"/>
          <w:sz w:val="21"/>
          <w:szCs w:val="21"/>
          <w:shd w:val="clear" w:color="auto" w:fill="FFFFFF"/>
        </w:rPr>
        <w:t xml:space="preserve">FORT WORTH, TX / </w:t>
      </w:r>
      <w:r w:rsidR="00E82D59">
        <w:rPr>
          <w:rStyle w:val="Strong"/>
          <w:rFonts w:ascii="Helvetica" w:hAnsi="Helvetica" w:cs="Helvetica"/>
          <w:sz w:val="21"/>
          <w:szCs w:val="21"/>
          <w:shd w:val="clear" w:color="auto" w:fill="FFFFFF"/>
        </w:rPr>
        <w:t>GlobeNewswire</w:t>
      </w:r>
      <w:r>
        <w:rPr>
          <w:rStyle w:val="Strong"/>
          <w:rFonts w:ascii="Helvetica" w:hAnsi="Helvetica" w:cs="Helvetica"/>
          <w:sz w:val="21"/>
          <w:szCs w:val="21"/>
          <w:shd w:val="clear" w:color="auto" w:fill="FFFFFF"/>
        </w:rPr>
        <w:t xml:space="preserve"> / </w:t>
      </w:r>
      <w:r w:rsidR="00215D14">
        <w:rPr>
          <w:rStyle w:val="Strong"/>
          <w:rFonts w:ascii="Helvetica" w:hAnsi="Helvetica" w:cs="Helvetica"/>
          <w:sz w:val="21"/>
          <w:szCs w:val="21"/>
          <w:shd w:val="clear" w:color="auto" w:fill="FFFFFF"/>
        </w:rPr>
        <w:t>Ma</w:t>
      </w:r>
      <w:r w:rsidR="005F73AB">
        <w:rPr>
          <w:rStyle w:val="Strong"/>
          <w:rFonts w:ascii="Helvetica" w:hAnsi="Helvetica" w:cs="Helvetica"/>
          <w:sz w:val="21"/>
          <w:szCs w:val="21"/>
          <w:shd w:val="clear" w:color="auto" w:fill="FFFFFF"/>
        </w:rPr>
        <w:t>y</w:t>
      </w:r>
      <w:r>
        <w:rPr>
          <w:rStyle w:val="Strong"/>
          <w:rFonts w:ascii="Helvetica" w:hAnsi="Helvetica" w:cs="Helvetica"/>
          <w:sz w:val="21"/>
          <w:szCs w:val="21"/>
          <w:shd w:val="clear" w:color="auto" w:fill="FFFFFF"/>
        </w:rPr>
        <w:t xml:space="preserve"> </w:t>
      </w:r>
      <w:r w:rsidR="005F73AB">
        <w:rPr>
          <w:rStyle w:val="Strong"/>
          <w:rFonts w:ascii="Helvetica" w:hAnsi="Helvetica" w:cs="Helvetica"/>
          <w:sz w:val="21"/>
          <w:szCs w:val="21"/>
          <w:shd w:val="clear" w:color="auto" w:fill="FFFFFF"/>
        </w:rPr>
        <w:t>13</w:t>
      </w:r>
      <w:r>
        <w:rPr>
          <w:rStyle w:val="Strong"/>
          <w:rFonts w:ascii="Helvetica" w:hAnsi="Helvetica" w:cs="Helvetica"/>
          <w:sz w:val="21"/>
          <w:szCs w:val="21"/>
          <w:shd w:val="clear" w:color="auto" w:fill="FFFFFF"/>
        </w:rPr>
        <w:t>, 20</w:t>
      </w:r>
      <w:r w:rsidR="00215D14">
        <w:rPr>
          <w:rStyle w:val="Strong"/>
          <w:rFonts w:ascii="Helvetica" w:hAnsi="Helvetica" w:cs="Helvetica"/>
          <w:sz w:val="21"/>
          <w:szCs w:val="21"/>
          <w:shd w:val="clear" w:color="auto" w:fill="FFFFFF"/>
        </w:rPr>
        <w:t>2</w:t>
      </w:r>
      <w:r w:rsidR="00E91207">
        <w:rPr>
          <w:rStyle w:val="Strong"/>
          <w:rFonts w:ascii="Helvetica" w:hAnsi="Helvetica" w:cs="Helvetica"/>
          <w:sz w:val="21"/>
          <w:szCs w:val="21"/>
          <w:shd w:val="clear" w:color="auto" w:fill="FFFFFF"/>
        </w:rPr>
        <w:t>4</w:t>
      </w:r>
      <w:r>
        <w:rPr>
          <w:rStyle w:val="Strong"/>
          <w:rFonts w:ascii="Helvetica" w:hAnsi="Helvetica" w:cs="Helvetica"/>
          <w:sz w:val="21"/>
          <w:szCs w:val="21"/>
          <w:shd w:val="clear" w:color="auto" w:fill="FFFFFF"/>
        </w:rPr>
        <w:t xml:space="preserve"> / Sanara MedTech Inc</w:t>
      </w:r>
      <w:r>
        <w:rPr>
          <w:rFonts w:ascii="Helvetica" w:hAnsi="Helvetica" w:cs="Helvetica"/>
          <w:sz w:val="21"/>
          <w:szCs w:val="21"/>
          <w:shd w:val="clear" w:color="auto" w:fill="FFFFFF"/>
        </w:rPr>
        <w:t>. Based in Fort Worth, Texas, Sanara MedTech Inc. (“Sanara</w:t>
      </w:r>
      <w:r w:rsidR="005A2820">
        <w:rPr>
          <w:rFonts w:ascii="Helvetica" w:hAnsi="Helvetica" w:cs="Helvetica"/>
          <w:sz w:val="21"/>
          <w:szCs w:val="21"/>
          <w:shd w:val="clear" w:color="auto" w:fill="FFFFFF"/>
        </w:rPr>
        <w:t>,</w:t>
      </w:r>
      <w:r>
        <w:rPr>
          <w:rFonts w:ascii="Helvetica" w:hAnsi="Helvetica" w:cs="Helvetica"/>
          <w:sz w:val="21"/>
          <w:szCs w:val="21"/>
          <w:shd w:val="clear" w:color="auto" w:fill="FFFFFF"/>
        </w:rPr>
        <w:t>” the “Company</w:t>
      </w:r>
      <w:r w:rsidR="005A2820">
        <w:rPr>
          <w:rFonts w:ascii="Helvetica" w:hAnsi="Helvetica" w:cs="Helvetica"/>
          <w:sz w:val="21"/>
          <w:szCs w:val="21"/>
          <w:shd w:val="clear" w:color="auto" w:fill="FFFFFF"/>
        </w:rPr>
        <w:t>,</w:t>
      </w:r>
      <w:r>
        <w:rPr>
          <w:rFonts w:ascii="Helvetica" w:hAnsi="Helvetica" w:cs="Helvetica"/>
          <w:sz w:val="21"/>
          <w:szCs w:val="21"/>
          <w:shd w:val="clear" w:color="auto" w:fill="FFFFFF"/>
        </w:rPr>
        <w:t>”</w:t>
      </w:r>
      <w:r w:rsidR="005A2820">
        <w:rPr>
          <w:rFonts w:ascii="Helvetica" w:hAnsi="Helvetica" w:cs="Helvetica"/>
          <w:sz w:val="21"/>
          <w:szCs w:val="21"/>
          <w:shd w:val="clear" w:color="auto" w:fill="FFFFFF"/>
        </w:rPr>
        <w:t xml:space="preserve"> “</w:t>
      </w:r>
      <w:r w:rsidR="005A2820" w:rsidRPr="005A2820">
        <w:rPr>
          <w:rFonts w:ascii="Helvetica" w:hAnsi="Helvetica" w:cs="Helvetica"/>
          <w:sz w:val="21"/>
          <w:szCs w:val="21"/>
          <w:shd w:val="clear" w:color="auto" w:fill="FFFFFF"/>
        </w:rPr>
        <w:t>we,” “our” or “us”</w:t>
      </w:r>
      <w:r>
        <w:rPr>
          <w:rFonts w:ascii="Helvetica" w:hAnsi="Helvetica" w:cs="Helvetica"/>
          <w:sz w:val="21"/>
          <w:szCs w:val="21"/>
          <w:shd w:val="clear" w:color="auto" w:fill="FFFFFF"/>
        </w:rPr>
        <w:t>) (</w:t>
      </w:r>
      <w:r w:rsidR="009D6E0D">
        <w:rPr>
          <w:rFonts w:ascii="Helvetica" w:hAnsi="Helvetica" w:cs="Helvetica"/>
          <w:sz w:val="21"/>
          <w:szCs w:val="21"/>
          <w:shd w:val="clear" w:color="auto" w:fill="FFFFFF"/>
        </w:rPr>
        <w:t>NASDAQ</w:t>
      </w:r>
      <w:r>
        <w:rPr>
          <w:rFonts w:ascii="Helvetica" w:hAnsi="Helvetica" w:cs="Helvetica"/>
          <w:sz w:val="21"/>
          <w:szCs w:val="21"/>
          <w:shd w:val="clear" w:color="auto" w:fill="FFFFFF"/>
        </w:rPr>
        <w:t>: SMTI</w:t>
      </w:r>
      <w:r w:rsidR="002C44DC">
        <w:rPr>
          <w:rFonts w:ascii="Helvetica" w:hAnsi="Helvetica" w:cs="Helvetica"/>
          <w:sz w:val="21"/>
          <w:szCs w:val="21"/>
          <w:shd w:val="clear" w:color="auto" w:fill="FFFFFF"/>
        </w:rPr>
        <w:t>),</w:t>
      </w:r>
      <w:r w:rsidR="005F5C3F">
        <w:rPr>
          <w:rFonts w:ascii="Helvetica" w:hAnsi="Helvetica" w:cs="Helvetica"/>
          <w:sz w:val="21"/>
          <w:szCs w:val="21"/>
          <w:shd w:val="clear" w:color="auto" w:fill="FFFFFF"/>
        </w:rPr>
        <w:t xml:space="preserve"> </w:t>
      </w:r>
      <w:r w:rsidR="00410F1E" w:rsidRPr="005F5C3F">
        <w:rPr>
          <w:rFonts w:ascii="Helvetica" w:hAnsi="Helvetica" w:cs="Helvetica"/>
          <w:sz w:val="21"/>
          <w:szCs w:val="21"/>
          <w:shd w:val="clear" w:color="auto" w:fill="FFFFFF"/>
        </w:rPr>
        <w:t xml:space="preserve">a medical technology company focused on developing and commercializing transformative technologies to improve clinical outcomes and reduce healthcare expenditures in the surgical, chronic wound and skincare markets, announced today </w:t>
      </w:r>
      <w:r w:rsidR="00410F1E">
        <w:rPr>
          <w:rFonts w:ascii="Helvetica" w:hAnsi="Helvetica" w:cs="Helvetica"/>
          <w:sz w:val="21"/>
          <w:szCs w:val="21"/>
          <w:shd w:val="clear" w:color="auto" w:fill="FFFFFF"/>
        </w:rPr>
        <w:t xml:space="preserve">its strategic, operational and financial results </w:t>
      </w:r>
      <w:r>
        <w:rPr>
          <w:rFonts w:ascii="Helvetica" w:hAnsi="Helvetica" w:cs="Helvetica"/>
          <w:sz w:val="21"/>
          <w:szCs w:val="21"/>
          <w:shd w:val="clear" w:color="auto" w:fill="FFFFFF"/>
        </w:rPr>
        <w:t xml:space="preserve">for the quarter ended </w:t>
      </w:r>
      <w:r w:rsidR="005F73AB">
        <w:rPr>
          <w:rFonts w:ascii="Helvetica" w:hAnsi="Helvetica" w:cs="Helvetica"/>
          <w:sz w:val="21"/>
          <w:szCs w:val="21"/>
          <w:shd w:val="clear" w:color="auto" w:fill="FFFFFF"/>
        </w:rPr>
        <w:t>March</w:t>
      </w:r>
      <w:r>
        <w:rPr>
          <w:rFonts w:ascii="Helvetica" w:hAnsi="Helvetica" w:cs="Helvetica"/>
          <w:sz w:val="21"/>
          <w:szCs w:val="21"/>
          <w:shd w:val="clear" w:color="auto" w:fill="FFFFFF"/>
        </w:rPr>
        <w:t xml:space="preserve"> 3</w:t>
      </w:r>
      <w:r w:rsidR="001B223D">
        <w:rPr>
          <w:rFonts w:ascii="Helvetica" w:hAnsi="Helvetica" w:cs="Helvetica"/>
          <w:sz w:val="21"/>
          <w:szCs w:val="21"/>
          <w:shd w:val="clear" w:color="auto" w:fill="FFFFFF"/>
        </w:rPr>
        <w:t>1</w:t>
      </w:r>
      <w:r>
        <w:rPr>
          <w:rFonts w:ascii="Helvetica" w:hAnsi="Helvetica" w:cs="Helvetica"/>
          <w:sz w:val="21"/>
          <w:szCs w:val="21"/>
          <w:shd w:val="clear" w:color="auto" w:fill="FFFFFF"/>
        </w:rPr>
        <w:t>, 20</w:t>
      </w:r>
      <w:r w:rsidR="00981BB6">
        <w:rPr>
          <w:rFonts w:ascii="Helvetica" w:hAnsi="Helvetica" w:cs="Helvetica"/>
          <w:sz w:val="21"/>
          <w:szCs w:val="21"/>
          <w:shd w:val="clear" w:color="auto" w:fill="FFFFFF"/>
        </w:rPr>
        <w:t>2</w:t>
      </w:r>
      <w:r w:rsidR="00F8081B">
        <w:rPr>
          <w:rFonts w:ascii="Helvetica" w:hAnsi="Helvetica" w:cs="Helvetica"/>
          <w:sz w:val="21"/>
          <w:szCs w:val="21"/>
          <w:shd w:val="clear" w:color="auto" w:fill="FFFFFF"/>
        </w:rPr>
        <w:t>4</w:t>
      </w:r>
      <w:r>
        <w:rPr>
          <w:rFonts w:ascii="Helvetica" w:hAnsi="Helvetica" w:cs="Helvetica"/>
          <w:sz w:val="21"/>
          <w:szCs w:val="21"/>
          <w:shd w:val="clear" w:color="auto" w:fill="FFFFFF"/>
        </w:rPr>
        <w:t xml:space="preserve">. </w:t>
      </w:r>
    </w:p>
    <w:p w14:paraId="327FE06D" w14:textId="03BD4A47" w:rsidR="00F942DF" w:rsidRDefault="006A0C35">
      <w:pPr>
        <w:jc w:val="both"/>
        <w:rPr>
          <w:rFonts w:ascii="Helvetica" w:hAnsi="Helvetica" w:cs="Helvetica"/>
          <w:color w:val="26282A"/>
          <w:sz w:val="21"/>
          <w:szCs w:val="21"/>
          <w:shd w:val="clear" w:color="auto" w:fill="FFFFFF"/>
        </w:rPr>
      </w:pPr>
      <w:r w:rsidRPr="00525E03">
        <w:rPr>
          <w:rFonts w:ascii="Helvetica" w:hAnsi="Helvetica" w:cs="Helvetica"/>
          <w:color w:val="26282A"/>
          <w:sz w:val="21"/>
          <w:szCs w:val="21"/>
          <w:shd w:val="clear" w:color="auto" w:fill="FFFFFF"/>
        </w:rPr>
        <w:t>Ron Nixon</w:t>
      </w:r>
      <w:r w:rsidR="005F1352" w:rsidRPr="00525E03">
        <w:rPr>
          <w:rFonts w:ascii="Helvetica" w:hAnsi="Helvetica" w:cs="Helvetica"/>
          <w:color w:val="26282A"/>
          <w:sz w:val="21"/>
          <w:szCs w:val="21"/>
          <w:shd w:val="clear" w:color="auto" w:fill="FFFFFF"/>
        </w:rPr>
        <w:t>, Sanara's</w:t>
      </w:r>
      <w:r w:rsidR="00C9116C" w:rsidRPr="00525E03">
        <w:rPr>
          <w:rFonts w:ascii="Helvetica" w:hAnsi="Helvetica" w:cs="Helvetica"/>
          <w:color w:val="26282A"/>
          <w:sz w:val="21"/>
          <w:szCs w:val="21"/>
          <w:shd w:val="clear" w:color="auto" w:fill="FFFFFF"/>
        </w:rPr>
        <w:t xml:space="preserve"> </w:t>
      </w:r>
      <w:r w:rsidR="002F12D1" w:rsidRPr="00525E03">
        <w:rPr>
          <w:rFonts w:ascii="Helvetica" w:hAnsi="Helvetica" w:cs="Helvetica"/>
          <w:color w:val="26282A"/>
          <w:sz w:val="21"/>
          <w:szCs w:val="21"/>
          <w:shd w:val="clear" w:color="auto" w:fill="FFFFFF"/>
        </w:rPr>
        <w:t>CEO</w:t>
      </w:r>
      <w:r w:rsidR="007E1127" w:rsidRPr="00525E03">
        <w:rPr>
          <w:rFonts w:ascii="Helvetica" w:hAnsi="Helvetica" w:cs="Helvetica"/>
          <w:color w:val="26282A"/>
          <w:sz w:val="21"/>
          <w:szCs w:val="21"/>
          <w:shd w:val="clear" w:color="auto" w:fill="FFFFFF"/>
        </w:rPr>
        <w:t>,</w:t>
      </w:r>
      <w:r w:rsidR="005F1352" w:rsidRPr="00525E03">
        <w:rPr>
          <w:rFonts w:ascii="Helvetica" w:hAnsi="Helvetica" w:cs="Helvetica"/>
          <w:color w:val="26282A"/>
          <w:sz w:val="21"/>
          <w:szCs w:val="21"/>
          <w:shd w:val="clear" w:color="auto" w:fill="FFFFFF"/>
        </w:rPr>
        <w:t xml:space="preserve"> stated, “</w:t>
      </w:r>
      <w:r w:rsidR="005471D7">
        <w:rPr>
          <w:rFonts w:ascii="Helvetica" w:hAnsi="Helvetica" w:cs="Helvetica"/>
          <w:color w:val="26282A"/>
          <w:sz w:val="21"/>
          <w:szCs w:val="21"/>
          <w:shd w:val="clear" w:color="auto" w:fill="FFFFFF"/>
        </w:rPr>
        <w:t>Over the course of 2023, we made significant advancements in data analytics, sales force optimization, and our sales processes. These improvements and the momentum we achieved in the fourth quarter of 2023 helped us exceed our internal forecast for the first quarter</w:t>
      </w:r>
      <w:r w:rsidR="00094FA4">
        <w:rPr>
          <w:rFonts w:ascii="Helvetica" w:hAnsi="Helvetica" w:cs="Helvetica"/>
          <w:color w:val="26282A"/>
          <w:sz w:val="21"/>
          <w:szCs w:val="21"/>
          <w:shd w:val="clear" w:color="auto" w:fill="FFFFFF"/>
        </w:rPr>
        <w:t>,</w:t>
      </w:r>
      <w:r w:rsidR="005471D7">
        <w:rPr>
          <w:rFonts w:ascii="Helvetica" w:hAnsi="Helvetica" w:cs="Helvetica"/>
          <w:color w:val="26282A"/>
          <w:sz w:val="21"/>
          <w:szCs w:val="21"/>
          <w:shd w:val="clear" w:color="auto" w:fill="FFFFFF"/>
        </w:rPr>
        <w:t xml:space="preserve"> and</w:t>
      </w:r>
      <w:r w:rsidR="009C1077">
        <w:rPr>
          <w:rFonts w:ascii="Helvetica" w:hAnsi="Helvetica" w:cs="Helvetica"/>
          <w:color w:val="26282A"/>
          <w:sz w:val="21"/>
          <w:szCs w:val="21"/>
          <w:shd w:val="clear" w:color="auto" w:fill="FFFFFF"/>
        </w:rPr>
        <w:t>,</w:t>
      </w:r>
      <w:r w:rsidR="005471D7">
        <w:rPr>
          <w:rFonts w:ascii="Helvetica" w:hAnsi="Helvetica" w:cs="Helvetica"/>
          <w:color w:val="26282A"/>
          <w:sz w:val="21"/>
          <w:szCs w:val="21"/>
          <w:shd w:val="clear" w:color="auto" w:fill="FFFFFF"/>
        </w:rPr>
        <w:t xml:space="preserve"> we believe</w:t>
      </w:r>
      <w:r w:rsidR="009C1077">
        <w:rPr>
          <w:rFonts w:ascii="Helvetica" w:hAnsi="Helvetica" w:cs="Helvetica"/>
          <w:color w:val="26282A"/>
          <w:sz w:val="21"/>
          <w:szCs w:val="21"/>
          <w:shd w:val="clear" w:color="auto" w:fill="FFFFFF"/>
        </w:rPr>
        <w:t>,</w:t>
      </w:r>
      <w:r w:rsidR="005471D7">
        <w:rPr>
          <w:rFonts w:ascii="Helvetica" w:hAnsi="Helvetica" w:cs="Helvetica"/>
          <w:color w:val="26282A"/>
          <w:sz w:val="21"/>
          <w:szCs w:val="21"/>
          <w:shd w:val="clear" w:color="auto" w:fill="FFFFFF"/>
        </w:rPr>
        <w:t xml:space="preserve"> position us to continue to build upon the success the team has achieved in previous periods</w:t>
      </w:r>
      <w:r w:rsidR="00701F9F">
        <w:rPr>
          <w:rFonts w:ascii="Helvetica" w:hAnsi="Helvetica" w:cs="Helvetica"/>
          <w:color w:val="26282A"/>
          <w:sz w:val="21"/>
          <w:szCs w:val="21"/>
          <w:shd w:val="clear" w:color="auto" w:fill="FFFFFF"/>
        </w:rPr>
        <w:t xml:space="preserve">. </w:t>
      </w:r>
      <w:r w:rsidR="00401344" w:rsidRPr="00525E03">
        <w:rPr>
          <w:rFonts w:ascii="Helvetica" w:hAnsi="Helvetica" w:cs="Helvetica"/>
          <w:color w:val="26282A"/>
          <w:sz w:val="21"/>
          <w:szCs w:val="21"/>
          <w:shd w:val="clear" w:color="auto" w:fill="FFFFFF"/>
        </w:rPr>
        <w:t xml:space="preserve">In the first quarter of 2024, Sanara continued to execute on </w:t>
      </w:r>
      <w:r w:rsidR="00A146C1" w:rsidRPr="00525E03">
        <w:rPr>
          <w:rFonts w:ascii="Helvetica" w:hAnsi="Helvetica" w:cs="Helvetica"/>
          <w:color w:val="26282A"/>
          <w:sz w:val="21"/>
          <w:szCs w:val="21"/>
          <w:shd w:val="clear" w:color="auto" w:fill="FFFFFF"/>
        </w:rPr>
        <w:t>its</w:t>
      </w:r>
      <w:r w:rsidR="00401344" w:rsidRPr="00525E03">
        <w:rPr>
          <w:rFonts w:ascii="Helvetica" w:hAnsi="Helvetica" w:cs="Helvetica"/>
          <w:color w:val="26282A"/>
          <w:sz w:val="21"/>
          <w:szCs w:val="21"/>
          <w:shd w:val="clear" w:color="auto" w:fill="FFFFFF"/>
        </w:rPr>
        <w:t xml:space="preserve"> strategic and operational plans</w:t>
      </w:r>
      <w:r w:rsidR="005E1749" w:rsidRPr="00525E03">
        <w:rPr>
          <w:rFonts w:ascii="Helvetica" w:hAnsi="Helvetica" w:cs="Helvetica"/>
          <w:color w:val="26282A"/>
          <w:sz w:val="21"/>
          <w:szCs w:val="21"/>
          <w:shd w:val="clear" w:color="auto" w:fill="FFFFFF"/>
        </w:rPr>
        <w:t xml:space="preserve"> and realized its</w:t>
      </w:r>
      <w:r w:rsidR="00A876AC" w:rsidRPr="00525E03">
        <w:rPr>
          <w:rFonts w:ascii="Helvetica" w:hAnsi="Helvetica" w:cs="Helvetica"/>
          <w:color w:val="26282A"/>
          <w:sz w:val="21"/>
          <w:szCs w:val="21"/>
          <w:shd w:val="clear" w:color="auto" w:fill="FFFFFF"/>
        </w:rPr>
        <w:t xml:space="preserve"> </w:t>
      </w:r>
      <w:r w:rsidR="0028633B" w:rsidRPr="00525E03">
        <w:rPr>
          <w:rFonts w:ascii="Helvetica" w:hAnsi="Helvetica" w:cs="Helvetica"/>
          <w:color w:val="26282A"/>
          <w:sz w:val="21"/>
          <w:szCs w:val="21"/>
          <w:shd w:val="clear" w:color="auto" w:fill="FFFFFF"/>
        </w:rPr>
        <w:t xml:space="preserve">tenth </w:t>
      </w:r>
      <w:r w:rsidR="00A876AC" w:rsidRPr="00525E03">
        <w:rPr>
          <w:rFonts w:ascii="Helvetica" w:hAnsi="Helvetica" w:cs="Helvetica"/>
          <w:color w:val="26282A"/>
          <w:sz w:val="21"/>
          <w:szCs w:val="21"/>
          <w:shd w:val="clear" w:color="auto" w:fill="FFFFFF"/>
        </w:rPr>
        <w:t xml:space="preserve">consecutive record </w:t>
      </w:r>
      <w:r w:rsidR="0028633B" w:rsidRPr="00525E03">
        <w:rPr>
          <w:rFonts w:ascii="Helvetica" w:hAnsi="Helvetica" w:cs="Helvetica"/>
          <w:color w:val="26282A"/>
          <w:sz w:val="21"/>
          <w:szCs w:val="21"/>
          <w:shd w:val="clear" w:color="auto" w:fill="FFFFFF"/>
        </w:rPr>
        <w:t xml:space="preserve">revenue </w:t>
      </w:r>
      <w:r w:rsidR="00A876AC" w:rsidRPr="00525E03">
        <w:rPr>
          <w:rFonts w:ascii="Helvetica" w:hAnsi="Helvetica" w:cs="Helvetica"/>
          <w:color w:val="26282A"/>
          <w:sz w:val="21"/>
          <w:szCs w:val="21"/>
          <w:shd w:val="clear" w:color="auto" w:fill="FFFFFF"/>
        </w:rPr>
        <w:t>quarter</w:t>
      </w:r>
      <w:r w:rsidR="000E384A" w:rsidRPr="00525E03">
        <w:rPr>
          <w:rFonts w:ascii="Helvetica" w:hAnsi="Helvetica" w:cs="Helvetica"/>
          <w:color w:val="26282A"/>
          <w:sz w:val="21"/>
          <w:szCs w:val="21"/>
          <w:shd w:val="clear" w:color="auto" w:fill="FFFFFF"/>
        </w:rPr>
        <w:t>.</w:t>
      </w:r>
      <w:r w:rsidR="00B33512" w:rsidRPr="00525E03">
        <w:rPr>
          <w:rFonts w:ascii="Helvetica" w:hAnsi="Helvetica" w:cs="Helvetica"/>
          <w:color w:val="26282A"/>
          <w:sz w:val="21"/>
          <w:szCs w:val="21"/>
          <w:shd w:val="clear" w:color="auto" w:fill="FFFFFF"/>
        </w:rPr>
        <w:t xml:space="preserve"> Subsequent to the end of the quarter, </w:t>
      </w:r>
      <w:r w:rsidR="00FB7155" w:rsidRPr="00525E03">
        <w:rPr>
          <w:rFonts w:ascii="Helvetica" w:hAnsi="Helvetica" w:cs="Helvetica"/>
          <w:color w:val="26282A"/>
          <w:sz w:val="21"/>
          <w:szCs w:val="21"/>
          <w:shd w:val="clear" w:color="auto" w:fill="FFFFFF"/>
        </w:rPr>
        <w:t>the Company</w:t>
      </w:r>
      <w:r w:rsidR="0089733A">
        <w:rPr>
          <w:rFonts w:ascii="Helvetica" w:hAnsi="Helvetica" w:cs="Helvetica"/>
          <w:color w:val="26282A"/>
          <w:sz w:val="21"/>
          <w:szCs w:val="21"/>
          <w:shd w:val="clear" w:color="auto" w:fill="FFFFFF"/>
        </w:rPr>
        <w:t>’s former CEO resigned</w:t>
      </w:r>
      <w:r w:rsidR="000A3CED">
        <w:rPr>
          <w:rFonts w:ascii="Helvetica" w:hAnsi="Helvetica" w:cs="Helvetica"/>
          <w:color w:val="26282A"/>
          <w:sz w:val="21"/>
          <w:szCs w:val="21"/>
          <w:shd w:val="clear" w:color="auto" w:fill="FFFFFF"/>
        </w:rPr>
        <w:t xml:space="preserve"> and</w:t>
      </w:r>
      <w:r w:rsidR="0089733A">
        <w:rPr>
          <w:rFonts w:ascii="Helvetica" w:hAnsi="Helvetica" w:cs="Helvetica"/>
          <w:color w:val="26282A"/>
          <w:sz w:val="21"/>
          <w:szCs w:val="21"/>
          <w:shd w:val="clear" w:color="auto" w:fill="FFFFFF"/>
        </w:rPr>
        <w:t xml:space="preserve"> </w:t>
      </w:r>
      <w:r w:rsidR="00D5021D">
        <w:rPr>
          <w:rFonts w:ascii="Helvetica" w:hAnsi="Helvetica" w:cs="Helvetica"/>
          <w:color w:val="26282A"/>
          <w:sz w:val="21"/>
          <w:szCs w:val="21"/>
          <w:shd w:val="clear" w:color="auto" w:fill="FFFFFF"/>
        </w:rPr>
        <w:t>the Company</w:t>
      </w:r>
      <w:r w:rsidR="00B33512" w:rsidRPr="00525E03">
        <w:rPr>
          <w:rFonts w:ascii="Helvetica" w:hAnsi="Helvetica" w:cs="Helvetica"/>
          <w:color w:val="26282A"/>
          <w:sz w:val="21"/>
          <w:szCs w:val="21"/>
          <w:shd w:val="clear" w:color="auto" w:fill="FFFFFF"/>
        </w:rPr>
        <w:t xml:space="preserve"> took</w:t>
      </w:r>
      <w:r w:rsidR="00AB0944" w:rsidRPr="00525E03">
        <w:rPr>
          <w:rFonts w:ascii="Helvetica" w:hAnsi="Helvetica" w:cs="Helvetica"/>
          <w:color w:val="26282A"/>
          <w:sz w:val="21"/>
          <w:szCs w:val="21"/>
          <w:shd w:val="clear" w:color="auto" w:fill="FFFFFF"/>
        </w:rPr>
        <w:t xml:space="preserve"> </w:t>
      </w:r>
      <w:r w:rsidR="00D46308" w:rsidRPr="00525E03">
        <w:rPr>
          <w:rFonts w:ascii="Helvetica" w:hAnsi="Helvetica" w:cs="Helvetica"/>
          <w:color w:val="26282A"/>
          <w:sz w:val="21"/>
          <w:szCs w:val="21"/>
          <w:shd w:val="clear" w:color="auto" w:fill="FFFFFF"/>
        </w:rPr>
        <w:t xml:space="preserve">steps to </w:t>
      </w:r>
      <w:r w:rsidR="009F5D00" w:rsidRPr="00525E03">
        <w:rPr>
          <w:rFonts w:ascii="Helvetica" w:hAnsi="Helvetica" w:cs="Helvetica"/>
          <w:color w:val="26282A"/>
          <w:sz w:val="21"/>
          <w:szCs w:val="21"/>
          <w:shd w:val="clear" w:color="auto" w:fill="FFFFFF"/>
        </w:rPr>
        <w:t xml:space="preserve">strengthen </w:t>
      </w:r>
      <w:r w:rsidR="00640654" w:rsidRPr="00525E03">
        <w:rPr>
          <w:rFonts w:ascii="Helvetica" w:hAnsi="Helvetica" w:cs="Helvetica"/>
          <w:color w:val="26282A"/>
          <w:sz w:val="21"/>
          <w:szCs w:val="21"/>
          <w:shd w:val="clear" w:color="auto" w:fill="FFFFFF"/>
        </w:rPr>
        <w:t>its</w:t>
      </w:r>
      <w:r w:rsidR="009F5D00" w:rsidRPr="00525E03">
        <w:rPr>
          <w:rFonts w:ascii="Helvetica" w:hAnsi="Helvetica" w:cs="Helvetica"/>
          <w:color w:val="26282A"/>
          <w:sz w:val="21"/>
          <w:szCs w:val="21"/>
          <w:shd w:val="clear" w:color="auto" w:fill="FFFFFF"/>
        </w:rPr>
        <w:t xml:space="preserve"> </w:t>
      </w:r>
      <w:r w:rsidR="0028633B" w:rsidRPr="00525E03">
        <w:rPr>
          <w:rFonts w:ascii="Helvetica" w:hAnsi="Helvetica" w:cs="Helvetica"/>
          <w:color w:val="26282A"/>
          <w:sz w:val="21"/>
          <w:szCs w:val="21"/>
          <w:shd w:val="clear" w:color="auto" w:fill="FFFFFF"/>
        </w:rPr>
        <w:t>cash resources</w:t>
      </w:r>
      <w:r w:rsidR="009F5D00" w:rsidRPr="00525E03">
        <w:rPr>
          <w:rFonts w:ascii="Helvetica" w:hAnsi="Helvetica" w:cs="Helvetica"/>
          <w:color w:val="26282A"/>
          <w:sz w:val="21"/>
          <w:szCs w:val="21"/>
          <w:shd w:val="clear" w:color="auto" w:fill="FFFFFF"/>
        </w:rPr>
        <w:t xml:space="preserve"> </w:t>
      </w:r>
      <w:r w:rsidR="000A3CED">
        <w:rPr>
          <w:rFonts w:ascii="Helvetica" w:hAnsi="Helvetica" w:cs="Helvetica"/>
          <w:color w:val="26282A"/>
          <w:sz w:val="21"/>
          <w:szCs w:val="21"/>
          <w:shd w:val="clear" w:color="auto" w:fill="FFFFFF"/>
        </w:rPr>
        <w:t>as well as</w:t>
      </w:r>
      <w:r w:rsidR="009F5D00" w:rsidRPr="00525E03">
        <w:rPr>
          <w:rFonts w:ascii="Helvetica" w:hAnsi="Helvetica" w:cs="Helvetica"/>
          <w:color w:val="26282A"/>
          <w:sz w:val="21"/>
          <w:szCs w:val="21"/>
          <w:shd w:val="clear" w:color="auto" w:fill="FFFFFF"/>
        </w:rPr>
        <w:t xml:space="preserve"> </w:t>
      </w:r>
      <w:r w:rsidR="005B00EB">
        <w:rPr>
          <w:rFonts w:ascii="Helvetica" w:hAnsi="Helvetica" w:cs="Helvetica"/>
          <w:color w:val="26282A"/>
          <w:sz w:val="21"/>
          <w:szCs w:val="21"/>
          <w:shd w:val="clear" w:color="auto" w:fill="FFFFFF"/>
        </w:rPr>
        <w:t>add to</w:t>
      </w:r>
      <w:r w:rsidR="009C3619" w:rsidRPr="00525E03">
        <w:rPr>
          <w:rFonts w:ascii="Helvetica" w:hAnsi="Helvetica" w:cs="Helvetica"/>
          <w:color w:val="26282A"/>
          <w:sz w:val="21"/>
          <w:szCs w:val="21"/>
          <w:shd w:val="clear" w:color="auto" w:fill="FFFFFF"/>
        </w:rPr>
        <w:t xml:space="preserve"> </w:t>
      </w:r>
      <w:r w:rsidR="0067697C" w:rsidRPr="00525E03">
        <w:rPr>
          <w:rFonts w:ascii="Helvetica" w:hAnsi="Helvetica" w:cs="Helvetica"/>
          <w:color w:val="26282A"/>
          <w:sz w:val="21"/>
          <w:szCs w:val="21"/>
          <w:shd w:val="clear" w:color="auto" w:fill="FFFFFF"/>
        </w:rPr>
        <w:t>the</w:t>
      </w:r>
      <w:r w:rsidR="009C3619" w:rsidRPr="00525E03">
        <w:rPr>
          <w:rFonts w:ascii="Helvetica" w:hAnsi="Helvetica" w:cs="Helvetica"/>
          <w:color w:val="26282A"/>
          <w:sz w:val="21"/>
          <w:szCs w:val="21"/>
          <w:shd w:val="clear" w:color="auto" w:fill="FFFFFF"/>
        </w:rPr>
        <w:t xml:space="preserve"> executive team</w:t>
      </w:r>
      <w:r w:rsidR="00CF0787" w:rsidRPr="00525E03">
        <w:rPr>
          <w:rFonts w:ascii="Helvetica" w:hAnsi="Helvetica" w:cs="Helvetica"/>
          <w:color w:val="26282A"/>
          <w:sz w:val="21"/>
          <w:szCs w:val="21"/>
          <w:shd w:val="clear" w:color="auto" w:fill="FFFFFF"/>
        </w:rPr>
        <w:t>.</w:t>
      </w:r>
      <w:r w:rsidR="001307B3">
        <w:rPr>
          <w:rFonts w:ascii="Helvetica" w:hAnsi="Helvetica" w:cs="Helvetica"/>
          <w:color w:val="26282A"/>
          <w:sz w:val="21"/>
          <w:szCs w:val="21"/>
          <w:shd w:val="clear" w:color="auto" w:fill="FFFFFF"/>
        </w:rPr>
        <w:t>”</w:t>
      </w:r>
    </w:p>
    <w:p w14:paraId="2589B2B0" w14:textId="1C9C09AD" w:rsidR="000B17E6" w:rsidRDefault="006A559E" w:rsidP="000B17E6">
      <w:pPr>
        <w:jc w:val="both"/>
        <w:rPr>
          <w:rFonts w:ascii="Helvetica" w:hAnsi="Helvetica" w:cs="Helvetica"/>
          <w:b/>
          <w:sz w:val="21"/>
          <w:szCs w:val="21"/>
        </w:rPr>
      </w:pPr>
      <w:r>
        <w:rPr>
          <w:rFonts w:ascii="Helvetica" w:hAnsi="Helvetica" w:cs="Helvetica"/>
          <w:b/>
          <w:bCs/>
          <w:sz w:val="21"/>
          <w:szCs w:val="21"/>
          <w:shd w:val="clear" w:color="auto" w:fill="FFFFFF"/>
        </w:rPr>
        <w:t>Strateg</w:t>
      </w:r>
      <w:r w:rsidR="00DE73F6">
        <w:rPr>
          <w:rFonts w:ascii="Helvetica" w:hAnsi="Helvetica" w:cs="Helvetica"/>
          <w:b/>
          <w:bCs/>
          <w:sz w:val="21"/>
          <w:szCs w:val="21"/>
          <w:shd w:val="clear" w:color="auto" w:fill="FFFFFF"/>
        </w:rPr>
        <w:t>ic and Operational</w:t>
      </w:r>
      <w:r>
        <w:rPr>
          <w:rFonts w:ascii="Helvetica" w:hAnsi="Helvetica" w:cs="Helvetica"/>
          <w:b/>
          <w:bCs/>
          <w:sz w:val="21"/>
          <w:szCs w:val="21"/>
          <w:shd w:val="clear" w:color="auto" w:fill="FFFFFF"/>
        </w:rPr>
        <w:t xml:space="preserve"> Highlights</w:t>
      </w:r>
      <w:r w:rsidR="00E667CF">
        <w:rPr>
          <w:rFonts w:ascii="Helvetica" w:hAnsi="Helvetica" w:cs="Helvetica"/>
          <w:b/>
          <w:bCs/>
          <w:sz w:val="21"/>
          <w:szCs w:val="21"/>
          <w:shd w:val="clear" w:color="auto" w:fill="FFFFFF"/>
        </w:rPr>
        <w:t xml:space="preserve"> in </w:t>
      </w:r>
      <w:r w:rsidR="0092545F">
        <w:rPr>
          <w:rFonts w:ascii="Helvetica" w:hAnsi="Helvetica" w:cs="Helvetica"/>
          <w:b/>
          <w:bCs/>
          <w:sz w:val="21"/>
          <w:szCs w:val="21"/>
          <w:shd w:val="clear" w:color="auto" w:fill="FFFFFF"/>
        </w:rPr>
        <w:t xml:space="preserve">the </w:t>
      </w:r>
      <w:r w:rsidR="00C15C23">
        <w:rPr>
          <w:rFonts w:ascii="Helvetica" w:hAnsi="Helvetica" w:cs="Helvetica"/>
          <w:b/>
          <w:bCs/>
          <w:sz w:val="21"/>
          <w:szCs w:val="21"/>
          <w:shd w:val="clear" w:color="auto" w:fill="FFFFFF"/>
        </w:rPr>
        <w:t>First</w:t>
      </w:r>
      <w:r w:rsidR="00E667CF">
        <w:rPr>
          <w:rFonts w:ascii="Helvetica" w:hAnsi="Helvetica" w:cs="Helvetica"/>
          <w:b/>
          <w:bCs/>
          <w:sz w:val="21"/>
          <w:szCs w:val="21"/>
          <w:shd w:val="clear" w:color="auto" w:fill="FFFFFF"/>
        </w:rPr>
        <w:t xml:space="preserve"> Quarter 202</w:t>
      </w:r>
      <w:r w:rsidR="00492639">
        <w:rPr>
          <w:rFonts w:ascii="Helvetica" w:hAnsi="Helvetica" w:cs="Helvetica"/>
          <w:b/>
          <w:bCs/>
          <w:sz w:val="21"/>
          <w:szCs w:val="21"/>
          <w:shd w:val="clear" w:color="auto" w:fill="FFFFFF"/>
        </w:rPr>
        <w:t>4</w:t>
      </w:r>
    </w:p>
    <w:p w14:paraId="209DE09D" w14:textId="70E12E8E" w:rsidR="00F64514" w:rsidRDefault="006100B0" w:rsidP="00645EFA">
      <w:pPr>
        <w:pStyle w:val="ListParagraph"/>
        <w:numPr>
          <w:ilvl w:val="0"/>
          <w:numId w:val="5"/>
        </w:numPr>
        <w:jc w:val="both"/>
        <w:rPr>
          <w:rFonts w:ascii="Helvetica" w:hAnsi="Helvetica" w:cs="Helvetica"/>
          <w:sz w:val="21"/>
          <w:szCs w:val="21"/>
          <w:shd w:val="clear" w:color="auto" w:fill="FFFFFF"/>
        </w:rPr>
      </w:pPr>
      <w:r>
        <w:rPr>
          <w:rFonts w:ascii="Helvetica" w:hAnsi="Helvetica" w:cs="Helvetica"/>
          <w:sz w:val="21"/>
          <w:szCs w:val="21"/>
          <w:shd w:val="clear" w:color="auto" w:fill="FFFFFF"/>
        </w:rPr>
        <w:t xml:space="preserve">In the </w:t>
      </w:r>
      <w:r w:rsidR="00492639">
        <w:rPr>
          <w:rFonts w:ascii="Helvetica" w:hAnsi="Helvetica" w:cs="Helvetica"/>
          <w:sz w:val="21"/>
          <w:szCs w:val="21"/>
          <w:shd w:val="clear" w:color="auto" w:fill="FFFFFF"/>
        </w:rPr>
        <w:t>first</w:t>
      </w:r>
      <w:r>
        <w:rPr>
          <w:rFonts w:ascii="Helvetica" w:hAnsi="Helvetica" w:cs="Helvetica"/>
          <w:sz w:val="21"/>
          <w:szCs w:val="21"/>
          <w:shd w:val="clear" w:color="auto" w:fill="FFFFFF"/>
        </w:rPr>
        <w:t xml:space="preserve"> quarter</w:t>
      </w:r>
      <w:r w:rsidR="00DD251F">
        <w:rPr>
          <w:rFonts w:ascii="Helvetica" w:hAnsi="Helvetica" w:cs="Helvetica"/>
          <w:sz w:val="21"/>
          <w:szCs w:val="21"/>
          <w:shd w:val="clear" w:color="auto" w:fill="FFFFFF"/>
        </w:rPr>
        <w:t xml:space="preserve"> of</w:t>
      </w:r>
      <w:r>
        <w:rPr>
          <w:rFonts w:ascii="Helvetica" w:hAnsi="Helvetica" w:cs="Helvetica"/>
          <w:sz w:val="21"/>
          <w:szCs w:val="21"/>
          <w:shd w:val="clear" w:color="auto" w:fill="FFFFFF"/>
        </w:rPr>
        <w:t xml:space="preserve"> 202</w:t>
      </w:r>
      <w:r w:rsidR="00492639">
        <w:rPr>
          <w:rFonts w:ascii="Helvetica" w:hAnsi="Helvetica" w:cs="Helvetica"/>
          <w:sz w:val="21"/>
          <w:szCs w:val="21"/>
          <w:shd w:val="clear" w:color="auto" w:fill="FFFFFF"/>
        </w:rPr>
        <w:t>4</w:t>
      </w:r>
      <w:r>
        <w:rPr>
          <w:rFonts w:ascii="Helvetica" w:hAnsi="Helvetica" w:cs="Helvetica"/>
          <w:sz w:val="21"/>
          <w:szCs w:val="21"/>
          <w:shd w:val="clear" w:color="auto" w:fill="FFFFFF"/>
        </w:rPr>
        <w:t xml:space="preserve">, the Company generated a record </w:t>
      </w:r>
      <w:r w:rsidR="00AC7F7A">
        <w:rPr>
          <w:rFonts w:ascii="Helvetica" w:hAnsi="Helvetica" w:cs="Helvetica"/>
          <w:sz w:val="21"/>
          <w:szCs w:val="21"/>
          <w:shd w:val="clear" w:color="auto" w:fill="FFFFFF"/>
        </w:rPr>
        <w:t>$</w:t>
      </w:r>
      <w:r w:rsidR="006E484A">
        <w:rPr>
          <w:rFonts w:ascii="Helvetica" w:hAnsi="Helvetica" w:cs="Helvetica"/>
          <w:sz w:val="21"/>
          <w:szCs w:val="21"/>
          <w:shd w:val="clear" w:color="auto" w:fill="FFFFFF"/>
        </w:rPr>
        <w:t>18</w:t>
      </w:r>
      <w:r w:rsidR="00AC7F7A">
        <w:rPr>
          <w:rFonts w:ascii="Helvetica" w:hAnsi="Helvetica" w:cs="Helvetica"/>
          <w:sz w:val="21"/>
          <w:szCs w:val="21"/>
          <w:shd w:val="clear" w:color="auto" w:fill="FFFFFF"/>
        </w:rPr>
        <w:t>.</w:t>
      </w:r>
      <w:r w:rsidR="006E484A">
        <w:rPr>
          <w:rFonts w:ascii="Helvetica" w:hAnsi="Helvetica" w:cs="Helvetica"/>
          <w:sz w:val="21"/>
          <w:szCs w:val="21"/>
          <w:shd w:val="clear" w:color="auto" w:fill="FFFFFF"/>
        </w:rPr>
        <w:t>5</w:t>
      </w:r>
      <w:r w:rsidR="00AC7F7A">
        <w:rPr>
          <w:rFonts w:ascii="Helvetica" w:hAnsi="Helvetica" w:cs="Helvetica"/>
          <w:sz w:val="21"/>
          <w:szCs w:val="21"/>
          <w:shd w:val="clear" w:color="auto" w:fill="FFFFFF"/>
        </w:rPr>
        <w:t xml:space="preserve"> million</w:t>
      </w:r>
      <w:r>
        <w:rPr>
          <w:rFonts w:ascii="Helvetica" w:hAnsi="Helvetica" w:cs="Helvetica"/>
          <w:sz w:val="21"/>
          <w:szCs w:val="21"/>
          <w:shd w:val="clear" w:color="auto" w:fill="FFFFFF"/>
        </w:rPr>
        <w:t xml:space="preserve"> in </w:t>
      </w:r>
      <w:r w:rsidR="00F86366">
        <w:rPr>
          <w:rFonts w:ascii="Helvetica" w:hAnsi="Helvetica" w:cs="Helvetica"/>
          <w:sz w:val="21"/>
          <w:szCs w:val="21"/>
          <w:shd w:val="clear" w:color="auto" w:fill="FFFFFF"/>
        </w:rPr>
        <w:t>sales</w:t>
      </w:r>
      <w:r w:rsidR="00E667CF">
        <w:rPr>
          <w:rFonts w:ascii="Helvetica" w:hAnsi="Helvetica" w:cs="Helvetica"/>
          <w:sz w:val="21"/>
          <w:szCs w:val="21"/>
          <w:shd w:val="clear" w:color="auto" w:fill="FFFFFF"/>
        </w:rPr>
        <w:t>,</w:t>
      </w:r>
      <w:r w:rsidR="00F86366">
        <w:rPr>
          <w:rFonts w:ascii="Helvetica" w:hAnsi="Helvetica" w:cs="Helvetica"/>
          <w:sz w:val="21"/>
          <w:szCs w:val="21"/>
          <w:shd w:val="clear" w:color="auto" w:fill="FFFFFF"/>
        </w:rPr>
        <w:t xml:space="preserve"> representing a </w:t>
      </w:r>
      <w:r w:rsidR="006E484A">
        <w:rPr>
          <w:rFonts w:ascii="Helvetica" w:hAnsi="Helvetica" w:cs="Helvetica"/>
          <w:sz w:val="21"/>
          <w:szCs w:val="21"/>
          <w:shd w:val="clear" w:color="auto" w:fill="FFFFFF"/>
        </w:rPr>
        <w:t>tenth</w:t>
      </w:r>
      <w:r w:rsidR="009B6434">
        <w:rPr>
          <w:rFonts w:ascii="Helvetica" w:hAnsi="Helvetica" w:cs="Helvetica"/>
          <w:sz w:val="21"/>
          <w:szCs w:val="21"/>
          <w:shd w:val="clear" w:color="auto" w:fill="FFFFFF"/>
        </w:rPr>
        <w:t xml:space="preserve"> consecutive</w:t>
      </w:r>
      <w:r w:rsidR="00F86366">
        <w:rPr>
          <w:rFonts w:ascii="Helvetica" w:hAnsi="Helvetica" w:cs="Helvetica"/>
          <w:sz w:val="21"/>
          <w:szCs w:val="21"/>
          <w:shd w:val="clear" w:color="auto" w:fill="FFFFFF"/>
        </w:rPr>
        <w:t xml:space="preserve"> record revenue quarter for the Company.</w:t>
      </w:r>
    </w:p>
    <w:p w14:paraId="69E41DCE" w14:textId="77777777" w:rsidR="00F64514" w:rsidRDefault="00F64514" w:rsidP="00F64514">
      <w:pPr>
        <w:pStyle w:val="ListParagraph"/>
        <w:jc w:val="both"/>
        <w:rPr>
          <w:rFonts w:ascii="Helvetica" w:hAnsi="Helvetica" w:cs="Helvetica"/>
          <w:sz w:val="21"/>
          <w:szCs w:val="21"/>
          <w:shd w:val="clear" w:color="auto" w:fill="FFFFFF"/>
        </w:rPr>
      </w:pPr>
    </w:p>
    <w:p w14:paraId="71F8625F" w14:textId="6B987C18" w:rsidR="00516D39" w:rsidRPr="00BF0929" w:rsidRDefault="00AC225C" w:rsidP="002C36E5">
      <w:pPr>
        <w:pStyle w:val="ListParagraph"/>
        <w:numPr>
          <w:ilvl w:val="0"/>
          <w:numId w:val="5"/>
        </w:numPr>
        <w:jc w:val="both"/>
        <w:rPr>
          <w:rFonts w:ascii="Helvetica" w:hAnsi="Helvetica" w:cs="Helvetica"/>
          <w:sz w:val="21"/>
          <w:szCs w:val="21"/>
          <w:shd w:val="clear" w:color="auto" w:fill="FFFFFF"/>
        </w:rPr>
      </w:pPr>
      <w:r>
        <w:rPr>
          <w:rFonts w:ascii="Helvetica" w:hAnsi="Helvetica" w:cs="Helvetica"/>
          <w:sz w:val="21"/>
          <w:szCs w:val="21"/>
          <w:shd w:val="clear" w:color="auto" w:fill="FFFFFF"/>
        </w:rPr>
        <w:t xml:space="preserve">For the three months ended </w:t>
      </w:r>
      <w:r w:rsidR="002E3AED">
        <w:rPr>
          <w:rFonts w:ascii="Helvetica" w:hAnsi="Helvetica" w:cs="Helvetica"/>
          <w:sz w:val="21"/>
          <w:szCs w:val="21"/>
          <w:shd w:val="clear" w:color="auto" w:fill="FFFFFF"/>
        </w:rPr>
        <w:t>March</w:t>
      </w:r>
      <w:r>
        <w:rPr>
          <w:rFonts w:ascii="Helvetica" w:hAnsi="Helvetica" w:cs="Helvetica"/>
          <w:sz w:val="21"/>
          <w:szCs w:val="21"/>
          <w:shd w:val="clear" w:color="auto" w:fill="FFFFFF"/>
        </w:rPr>
        <w:t xml:space="preserve"> 31, 202</w:t>
      </w:r>
      <w:r w:rsidR="002E3AED">
        <w:rPr>
          <w:rFonts w:ascii="Helvetica" w:hAnsi="Helvetica" w:cs="Helvetica"/>
          <w:sz w:val="21"/>
          <w:szCs w:val="21"/>
          <w:shd w:val="clear" w:color="auto" w:fill="FFFFFF"/>
        </w:rPr>
        <w:t>4</w:t>
      </w:r>
      <w:r>
        <w:rPr>
          <w:rFonts w:ascii="Helvetica" w:hAnsi="Helvetica" w:cs="Helvetica"/>
          <w:sz w:val="21"/>
          <w:szCs w:val="21"/>
          <w:shd w:val="clear" w:color="auto" w:fill="FFFFFF"/>
        </w:rPr>
        <w:t xml:space="preserve">, the Company had a net loss of </w:t>
      </w:r>
      <w:r w:rsidR="00A34964">
        <w:rPr>
          <w:rFonts w:ascii="Helvetica" w:hAnsi="Helvetica" w:cs="Helvetica"/>
          <w:sz w:val="21"/>
          <w:szCs w:val="21"/>
          <w:shd w:val="clear" w:color="auto" w:fill="FFFFFF"/>
        </w:rPr>
        <w:t>$</w:t>
      </w:r>
      <w:r w:rsidR="00FF3640">
        <w:rPr>
          <w:rFonts w:ascii="Helvetica" w:hAnsi="Helvetica" w:cs="Helvetica"/>
          <w:sz w:val="21"/>
          <w:szCs w:val="21"/>
          <w:shd w:val="clear" w:color="auto" w:fill="FFFFFF"/>
        </w:rPr>
        <w:t>1</w:t>
      </w:r>
      <w:r w:rsidR="00282941">
        <w:rPr>
          <w:rFonts w:ascii="Helvetica" w:hAnsi="Helvetica" w:cs="Helvetica"/>
          <w:sz w:val="21"/>
          <w:szCs w:val="21"/>
          <w:shd w:val="clear" w:color="auto" w:fill="FFFFFF"/>
        </w:rPr>
        <w:t>.</w:t>
      </w:r>
      <w:r w:rsidR="00F0642F">
        <w:rPr>
          <w:rFonts w:ascii="Helvetica" w:hAnsi="Helvetica" w:cs="Helvetica"/>
          <w:sz w:val="21"/>
          <w:szCs w:val="21"/>
          <w:shd w:val="clear" w:color="auto" w:fill="FFFFFF"/>
        </w:rPr>
        <w:t>8</w:t>
      </w:r>
      <w:r>
        <w:rPr>
          <w:rFonts w:ascii="Helvetica" w:hAnsi="Helvetica" w:cs="Helvetica"/>
          <w:sz w:val="21"/>
          <w:szCs w:val="21"/>
          <w:shd w:val="clear" w:color="auto" w:fill="FFFFFF"/>
        </w:rPr>
        <w:t xml:space="preserve"> million, compared to a net loss of </w:t>
      </w:r>
      <w:r w:rsidR="00A34964" w:rsidRPr="00A34964">
        <w:rPr>
          <w:rFonts w:ascii="Helvetica" w:hAnsi="Helvetica" w:cs="Helvetica"/>
          <w:sz w:val="21"/>
          <w:szCs w:val="21"/>
          <w:shd w:val="clear" w:color="auto" w:fill="FFFFFF"/>
        </w:rPr>
        <w:t>$</w:t>
      </w:r>
      <w:r w:rsidR="00AC2678">
        <w:rPr>
          <w:rFonts w:ascii="Helvetica" w:hAnsi="Helvetica" w:cs="Helvetica"/>
          <w:sz w:val="21"/>
          <w:szCs w:val="21"/>
          <w:shd w:val="clear" w:color="auto" w:fill="FFFFFF"/>
        </w:rPr>
        <w:t>1</w:t>
      </w:r>
      <w:r w:rsidR="00282941">
        <w:rPr>
          <w:rFonts w:ascii="Helvetica" w:hAnsi="Helvetica" w:cs="Helvetica"/>
          <w:sz w:val="21"/>
          <w:szCs w:val="21"/>
          <w:shd w:val="clear" w:color="auto" w:fill="FFFFFF"/>
        </w:rPr>
        <w:t>.2</w:t>
      </w:r>
      <w:r>
        <w:rPr>
          <w:rFonts w:ascii="Helvetica" w:hAnsi="Helvetica" w:cs="Helvetica"/>
          <w:sz w:val="21"/>
          <w:szCs w:val="21"/>
          <w:shd w:val="clear" w:color="auto" w:fill="FFFFFF"/>
        </w:rPr>
        <w:t xml:space="preserve"> million for the three months ended </w:t>
      </w:r>
      <w:r w:rsidR="00405A79">
        <w:rPr>
          <w:rFonts w:ascii="Helvetica" w:hAnsi="Helvetica" w:cs="Helvetica"/>
          <w:sz w:val="21"/>
          <w:szCs w:val="21"/>
          <w:shd w:val="clear" w:color="auto" w:fill="FFFFFF"/>
        </w:rPr>
        <w:t>March</w:t>
      </w:r>
      <w:r>
        <w:rPr>
          <w:rFonts w:ascii="Helvetica" w:hAnsi="Helvetica" w:cs="Helvetica"/>
          <w:sz w:val="21"/>
          <w:szCs w:val="21"/>
          <w:shd w:val="clear" w:color="auto" w:fill="FFFFFF"/>
        </w:rPr>
        <w:t xml:space="preserve"> 31, 202</w:t>
      </w:r>
      <w:r w:rsidR="00405A79">
        <w:rPr>
          <w:rFonts w:ascii="Helvetica" w:hAnsi="Helvetica" w:cs="Helvetica"/>
          <w:sz w:val="21"/>
          <w:szCs w:val="21"/>
          <w:shd w:val="clear" w:color="auto" w:fill="FFFFFF"/>
        </w:rPr>
        <w:t>3</w:t>
      </w:r>
      <w:r>
        <w:rPr>
          <w:rFonts w:ascii="Helvetica" w:hAnsi="Helvetica" w:cs="Helvetica"/>
          <w:sz w:val="21"/>
          <w:szCs w:val="21"/>
          <w:shd w:val="clear" w:color="auto" w:fill="FFFFFF"/>
        </w:rPr>
        <w:t xml:space="preserve">. </w:t>
      </w:r>
      <w:r w:rsidR="00516D39">
        <w:rPr>
          <w:rFonts w:ascii="Helvetica" w:hAnsi="Helvetica" w:cs="Helvetica"/>
          <w:sz w:val="21"/>
          <w:szCs w:val="21"/>
          <w:shd w:val="clear" w:color="auto" w:fill="FFFFFF"/>
        </w:rPr>
        <w:t xml:space="preserve">The </w:t>
      </w:r>
      <w:r w:rsidR="005F3A47">
        <w:rPr>
          <w:rFonts w:ascii="Helvetica" w:hAnsi="Helvetica" w:cs="Helvetica"/>
          <w:sz w:val="21"/>
          <w:szCs w:val="21"/>
          <w:shd w:val="clear" w:color="auto" w:fill="FFFFFF"/>
        </w:rPr>
        <w:t xml:space="preserve">Company </w:t>
      </w:r>
      <w:r w:rsidR="00AC2678">
        <w:rPr>
          <w:rFonts w:ascii="Helvetica" w:hAnsi="Helvetica" w:cs="Helvetica"/>
          <w:sz w:val="21"/>
          <w:szCs w:val="21"/>
          <w:shd w:val="clear" w:color="auto" w:fill="FFFFFF"/>
        </w:rPr>
        <w:t>generated</w:t>
      </w:r>
      <w:r w:rsidR="005F3A47">
        <w:rPr>
          <w:rFonts w:ascii="Helvetica" w:hAnsi="Helvetica" w:cs="Helvetica"/>
          <w:sz w:val="21"/>
          <w:szCs w:val="21"/>
          <w:shd w:val="clear" w:color="auto" w:fill="FFFFFF"/>
        </w:rPr>
        <w:t xml:space="preserve"> </w:t>
      </w:r>
      <w:r w:rsidR="0051176E">
        <w:rPr>
          <w:rFonts w:ascii="Helvetica" w:hAnsi="Helvetica" w:cs="Helvetica"/>
          <w:sz w:val="21"/>
          <w:szCs w:val="21"/>
          <w:shd w:val="clear" w:color="auto" w:fill="FFFFFF"/>
        </w:rPr>
        <w:t>A</w:t>
      </w:r>
      <w:r w:rsidR="005F3A47">
        <w:rPr>
          <w:rFonts w:ascii="Helvetica" w:hAnsi="Helvetica" w:cs="Helvetica"/>
          <w:sz w:val="21"/>
          <w:szCs w:val="21"/>
          <w:shd w:val="clear" w:color="auto" w:fill="FFFFFF"/>
        </w:rPr>
        <w:t>djusted EBITDA</w:t>
      </w:r>
      <w:r>
        <w:rPr>
          <w:rFonts w:ascii="Helvetica" w:hAnsi="Helvetica" w:cs="Helvetica"/>
          <w:sz w:val="21"/>
          <w:szCs w:val="21"/>
          <w:shd w:val="clear" w:color="auto" w:fill="FFFFFF"/>
        </w:rPr>
        <w:t>*</w:t>
      </w:r>
      <w:r w:rsidR="00CF5664">
        <w:rPr>
          <w:rFonts w:ascii="Helvetica" w:hAnsi="Helvetica" w:cs="Helvetica"/>
          <w:sz w:val="21"/>
          <w:szCs w:val="21"/>
          <w:shd w:val="clear" w:color="auto" w:fill="FFFFFF"/>
        </w:rPr>
        <w:t xml:space="preserve"> of $0.3 million</w:t>
      </w:r>
      <w:r w:rsidR="005F3A47">
        <w:rPr>
          <w:rFonts w:ascii="Helvetica" w:hAnsi="Helvetica" w:cs="Helvetica"/>
          <w:sz w:val="21"/>
          <w:szCs w:val="21"/>
          <w:shd w:val="clear" w:color="auto" w:fill="FFFFFF"/>
        </w:rPr>
        <w:t xml:space="preserve"> for the three months </w:t>
      </w:r>
      <w:r w:rsidR="0081274D">
        <w:rPr>
          <w:rFonts w:ascii="Helvetica" w:hAnsi="Helvetica" w:cs="Helvetica"/>
          <w:sz w:val="21"/>
          <w:szCs w:val="21"/>
          <w:shd w:val="clear" w:color="auto" w:fill="FFFFFF"/>
        </w:rPr>
        <w:t xml:space="preserve">ended </w:t>
      </w:r>
      <w:r w:rsidR="00886166">
        <w:rPr>
          <w:rFonts w:ascii="Helvetica" w:hAnsi="Helvetica" w:cs="Helvetica"/>
          <w:sz w:val="21"/>
          <w:szCs w:val="21"/>
          <w:shd w:val="clear" w:color="auto" w:fill="FFFFFF"/>
        </w:rPr>
        <w:t>March</w:t>
      </w:r>
      <w:r w:rsidR="0081274D">
        <w:rPr>
          <w:rFonts w:ascii="Helvetica" w:hAnsi="Helvetica" w:cs="Helvetica"/>
          <w:sz w:val="21"/>
          <w:szCs w:val="21"/>
          <w:shd w:val="clear" w:color="auto" w:fill="FFFFFF"/>
        </w:rPr>
        <w:t xml:space="preserve"> 31, 202</w:t>
      </w:r>
      <w:r w:rsidR="00886166">
        <w:rPr>
          <w:rFonts w:ascii="Helvetica" w:hAnsi="Helvetica" w:cs="Helvetica"/>
          <w:sz w:val="21"/>
          <w:szCs w:val="21"/>
          <w:shd w:val="clear" w:color="auto" w:fill="FFFFFF"/>
        </w:rPr>
        <w:t>4</w:t>
      </w:r>
      <w:r w:rsidR="00176ACC">
        <w:rPr>
          <w:rFonts w:ascii="Helvetica" w:hAnsi="Helvetica" w:cs="Helvetica"/>
          <w:sz w:val="21"/>
          <w:szCs w:val="21"/>
          <w:shd w:val="clear" w:color="auto" w:fill="FFFFFF"/>
        </w:rPr>
        <w:t>,</w:t>
      </w:r>
      <w:r w:rsidR="0081274D">
        <w:rPr>
          <w:rFonts w:ascii="Helvetica" w:hAnsi="Helvetica" w:cs="Helvetica"/>
          <w:sz w:val="21"/>
          <w:szCs w:val="21"/>
          <w:shd w:val="clear" w:color="auto" w:fill="FFFFFF"/>
        </w:rPr>
        <w:t xml:space="preserve"> </w:t>
      </w:r>
      <w:r w:rsidR="006069C0">
        <w:rPr>
          <w:rFonts w:ascii="Helvetica" w:hAnsi="Helvetica" w:cs="Helvetica"/>
          <w:sz w:val="21"/>
          <w:szCs w:val="21"/>
          <w:shd w:val="clear" w:color="auto" w:fill="FFFFFF"/>
        </w:rPr>
        <w:t xml:space="preserve">compared to negative </w:t>
      </w:r>
      <w:r w:rsidR="006069C0" w:rsidRPr="00BF0929">
        <w:rPr>
          <w:rFonts w:ascii="Helvetica" w:hAnsi="Helvetica" w:cs="Helvetica"/>
          <w:sz w:val="21"/>
          <w:szCs w:val="21"/>
          <w:shd w:val="clear" w:color="auto" w:fill="FFFFFF"/>
        </w:rPr>
        <w:t>A</w:t>
      </w:r>
      <w:r w:rsidR="00E667CF">
        <w:rPr>
          <w:rFonts w:ascii="Helvetica" w:hAnsi="Helvetica" w:cs="Helvetica"/>
          <w:sz w:val="21"/>
          <w:szCs w:val="21"/>
          <w:shd w:val="clear" w:color="auto" w:fill="FFFFFF"/>
        </w:rPr>
        <w:t>dj</w:t>
      </w:r>
      <w:r w:rsidR="006069C0" w:rsidRPr="00BF0929">
        <w:rPr>
          <w:rFonts w:ascii="Helvetica" w:hAnsi="Helvetica" w:cs="Helvetica"/>
          <w:sz w:val="21"/>
          <w:szCs w:val="21"/>
          <w:shd w:val="clear" w:color="auto" w:fill="FFFFFF"/>
        </w:rPr>
        <w:t xml:space="preserve">usted EBITDA of </w:t>
      </w:r>
      <w:r w:rsidR="00D07135" w:rsidRPr="00BF0929">
        <w:rPr>
          <w:rFonts w:ascii="Helvetica" w:hAnsi="Helvetica" w:cs="Helvetica"/>
          <w:sz w:val="21"/>
          <w:szCs w:val="21"/>
          <w:shd w:val="clear" w:color="auto" w:fill="FFFFFF"/>
        </w:rPr>
        <w:t>$</w:t>
      </w:r>
      <w:r w:rsidR="00886166">
        <w:rPr>
          <w:rFonts w:ascii="Helvetica" w:hAnsi="Helvetica" w:cs="Helvetica"/>
          <w:sz w:val="21"/>
          <w:szCs w:val="21"/>
          <w:shd w:val="clear" w:color="auto" w:fill="FFFFFF"/>
        </w:rPr>
        <w:t>0</w:t>
      </w:r>
      <w:r w:rsidR="00D07135" w:rsidRPr="00BF0929">
        <w:rPr>
          <w:rFonts w:ascii="Helvetica" w:hAnsi="Helvetica" w:cs="Helvetica"/>
          <w:sz w:val="21"/>
          <w:szCs w:val="21"/>
          <w:shd w:val="clear" w:color="auto" w:fill="FFFFFF"/>
        </w:rPr>
        <w:t>.</w:t>
      </w:r>
      <w:r w:rsidR="00886166">
        <w:rPr>
          <w:rFonts w:ascii="Helvetica" w:hAnsi="Helvetica" w:cs="Helvetica"/>
          <w:sz w:val="21"/>
          <w:szCs w:val="21"/>
          <w:shd w:val="clear" w:color="auto" w:fill="FFFFFF"/>
        </w:rPr>
        <w:t>3</w:t>
      </w:r>
      <w:r w:rsidR="00D07135" w:rsidRPr="00BF0929">
        <w:rPr>
          <w:rFonts w:ascii="Helvetica" w:hAnsi="Helvetica" w:cs="Helvetica"/>
          <w:sz w:val="21"/>
          <w:szCs w:val="21"/>
          <w:shd w:val="clear" w:color="auto" w:fill="FFFFFF"/>
        </w:rPr>
        <w:t xml:space="preserve"> million</w:t>
      </w:r>
      <w:r w:rsidR="006069C0" w:rsidRPr="00BF0929">
        <w:rPr>
          <w:rFonts w:ascii="Helvetica" w:hAnsi="Helvetica" w:cs="Helvetica"/>
          <w:sz w:val="21"/>
          <w:szCs w:val="21"/>
          <w:shd w:val="clear" w:color="auto" w:fill="FFFFFF"/>
        </w:rPr>
        <w:t xml:space="preserve"> for the three months ended </w:t>
      </w:r>
      <w:r w:rsidR="00EF4551">
        <w:rPr>
          <w:rFonts w:ascii="Helvetica" w:hAnsi="Helvetica" w:cs="Helvetica"/>
          <w:sz w:val="21"/>
          <w:szCs w:val="21"/>
          <w:shd w:val="clear" w:color="auto" w:fill="FFFFFF"/>
        </w:rPr>
        <w:t>March</w:t>
      </w:r>
      <w:r w:rsidR="006069C0" w:rsidRPr="00BF0929">
        <w:rPr>
          <w:rFonts w:ascii="Helvetica" w:hAnsi="Helvetica" w:cs="Helvetica"/>
          <w:sz w:val="21"/>
          <w:szCs w:val="21"/>
          <w:shd w:val="clear" w:color="auto" w:fill="FFFFFF"/>
        </w:rPr>
        <w:t xml:space="preserve"> 31, 202</w:t>
      </w:r>
      <w:r w:rsidR="00452EA6">
        <w:rPr>
          <w:rFonts w:ascii="Helvetica" w:hAnsi="Helvetica" w:cs="Helvetica"/>
          <w:sz w:val="21"/>
          <w:szCs w:val="21"/>
          <w:shd w:val="clear" w:color="auto" w:fill="FFFFFF"/>
        </w:rPr>
        <w:t>3</w:t>
      </w:r>
      <w:r w:rsidR="006069C0" w:rsidRPr="00BF0929">
        <w:rPr>
          <w:rFonts w:ascii="Helvetica" w:hAnsi="Helvetica" w:cs="Helvetica"/>
          <w:sz w:val="21"/>
          <w:szCs w:val="21"/>
          <w:shd w:val="clear" w:color="auto" w:fill="FFFFFF"/>
        </w:rPr>
        <w:t>.</w:t>
      </w:r>
    </w:p>
    <w:p w14:paraId="60E2B7FE" w14:textId="77777777" w:rsidR="00516D39" w:rsidRPr="00BF0929" w:rsidRDefault="00516D39" w:rsidP="00516D39">
      <w:pPr>
        <w:pStyle w:val="ListParagraph"/>
        <w:rPr>
          <w:rFonts w:ascii="Helvetica" w:hAnsi="Helvetica" w:cs="Helvetica"/>
          <w:sz w:val="21"/>
          <w:szCs w:val="21"/>
          <w:shd w:val="clear" w:color="auto" w:fill="FFFFFF"/>
        </w:rPr>
      </w:pPr>
    </w:p>
    <w:p w14:paraId="11E1391C" w14:textId="73B0C4F0" w:rsidR="00F92501" w:rsidRDefault="00BA549A" w:rsidP="002C36E5">
      <w:pPr>
        <w:pStyle w:val="ListParagraph"/>
        <w:numPr>
          <w:ilvl w:val="0"/>
          <w:numId w:val="5"/>
        </w:numPr>
        <w:jc w:val="both"/>
        <w:rPr>
          <w:rFonts w:ascii="Helvetica" w:hAnsi="Helvetica" w:cs="Helvetica"/>
          <w:sz w:val="21"/>
          <w:szCs w:val="21"/>
          <w:shd w:val="clear" w:color="auto" w:fill="FFFFFF"/>
        </w:rPr>
      </w:pPr>
      <w:r w:rsidRPr="00BF0929">
        <w:rPr>
          <w:rFonts w:ascii="Helvetica" w:hAnsi="Helvetica" w:cs="Helvetica"/>
          <w:sz w:val="21"/>
          <w:szCs w:val="21"/>
          <w:shd w:val="clear" w:color="auto" w:fill="FFFFFF"/>
        </w:rPr>
        <w:t xml:space="preserve">During the trailing twelve-month period, the Company’s products were sold in over </w:t>
      </w:r>
      <w:r w:rsidR="005513A1">
        <w:rPr>
          <w:rFonts w:ascii="Helvetica" w:hAnsi="Helvetica" w:cs="Helvetica"/>
          <w:sz w:val="21"/>
          <w:szCs w:val="21"/>
          <w:shd w:val="clear" w:color="auto" w:fill="FFFFFF"/>
        </w:rPr>
        <w:t>1,0</w:t>
      </w:r>
      <w:r w:rsidR="009B66D7">
        <w:rPr>
          <w:rFonts w:ascii="Helvetica" w:hAnsi="Helvetica" w:cs="Helvetica"/>
          <w:sz w:val="21"/>
          <w:szCs w:val="21"/>
          <w:shd w:val="clear" w:color="auto" w:fill="FFFFFF"/>
        </w:rPr>
        <w:t>8</w:t>
      </w:r>
      <w:r w:rsidR="005513A1">
        <w:rPr>
          <w:rFonts w:ascii="Helvetica" w:hAnsi="Helvetica" w:cs="Helvetica"/>
          <w:sz w:val="21"/>
          <w:szCs w:val="21"/>
          <w:shd w:val="clear" w:color="auto" w:fill="FFFFFF"/>
        </w:rPr>
        <w:t>0</w:t>
      </w:r>
      <w:r w:rsidR="00D07135" w:rsidRPr="00BF0929">
        <w:rPr>
          <w:rFonts w:ascii="Helvetica" w:hAnsi="Helvetica" w:cs="Helvetica"/>
          <w:sz w:val="21"/>
          <w:szCs w:val="21"/>
          <w:shd w:val="clear" w:color="auto" w:fill="FFFFFF"/>
        </w:rPr>
        <w:t xml:space="preserve"> </w:t>
      </w:r>
      <w:r w:rsidRPr="00BF0929">
        <w:rPr>
          <w:rFonts w:ascii="Helvetica" w:hAnsi="Helvetica" w:cs="Helvetica"/>
          <w:sz w:val="21"/>
          <w:szCs w:val="21"/>
          <w:shd w:val="clear" w:color="auto" w:fill="FFFFFF"/>
        </w:rPr>
        <w:t xml:space="preserve">facilities across </w:t>
      </w:r>
      <w:r w:rsidR="006C61A9">
        <w:rPr>
          <w:rFonts w:ascii="Helvetica" w:hAnsi="Helvetica" w:cs="Helvetica"/>
          <w:sz w:val="21"/>
          <w:szCs w:val="21"/>
          <w:shd w:val="clear" w:color="auto" w:fill="FFFFFF"/>
        </w:rPr>
        <w:t>34</w:t>
      </w:r>
      <w:r w:rsidRPr="00BF0929">
        <w:rPr>
          <w:rFonts w:ascii="Helvetica" w:hAnsi="Helvetica" w:cs="Helvetica"/>
          <w:sz w:val="21"/>
          <w:szCs w:val="21"/>
          <w:shd w:val="clear" w:color="auto" w:fill="FFFFFF"/>
        </w:rPr>
        <w:t xml:space="preserve"> states plus the District of Columbia. The Company’s products were contracted or approved to be sold in more than </w:t>
      </w:r>
      <w:r w:rsidR="005E7AD5">
        <w:rPr>
          <w:rFonts w:ascii="Helvetica" w:hAnsi="Helvetica" w:cs="Helvetica"/>
          <w:sz w:val="21"/>
          <w:szCs w:val="21"/>
          <w:shd w:val="clear" w:color="auto" w:fill="FFFFFF"/>
        </w:rPr>
        <w:t>3</w:t>
      </w:r>
      <w:r w:rsidR="009E40FD">
        <w:rPr>
          <w:rFonts w:ascii="Helvetica" w:hAnsi="Helvetica" w:cs="Helvetica"/>
          <w:sz w:val="21"/>
          <w:szCs w:val="21"/>
          <w:shd w:val="clear" w:color="auto" w:fill="FFFFFF"/>
        </w:rPr>
        <w:t>,000</w:t>
      </w:r>
      <w:r w:rsidRPr="00BF0929">
        <w:rPr>
          <w:rFonts w:ascii="Helvetica" w:hAnsi="Helvetica" w:cs="Helvetica"/>
          <w:sz w:val="21"/>
          <w:szCs w:val="21"/>
          <w:shd w:val="clear" w:color="auto" w:fill="FFFFFF"/>
        </w:rPr>
        <w:t xml:space="preserve"> hospitals</w:t>
      </w:r>
      <w:r w:rsidRPr="000F495B">
        <w:rPr>
          <w:rFonts w:ascii="Helvetica" w:hAnsi="Helvetica" w:cs="Helvetica"/>
          <w:sz w:val="21"/>
          <w:szCs w:val="21"/>
          <w:shd w:val="clear" w:color="auto" w:fill="FFFFFF"/>
        </w:rPr>
        <w:t xml:space="preserve">/ambulatory surgery centers as of </w:t>
      </w:r>
      <w:r w:rsidR="00EF4551">
        <w:rPr>
          <w:rFonts w:ascii="Helvetica" w:hAnsi="Helvetica" w:cs="Helvetica"/>
          <w:sz w:val="21"/>
          <w:szCs w:val="21"/>
          <w:shd w:val="clear" w:color="auto" w:fill="FFFFFF"/>
        </w:rPr>
        <w:t>March</w:t>
      </w:r>
      <w:r w:rsidRPr="000F495B">
        <w:rPr>
          <w:rFonts w:ascii="Helvetica" w:hAnsi="Helvetica" w:cs="Helvetica"/>
          <w:sz w:val="21"/>
          <w:szCs w:val="21"/>
          <w:shd w:val="clear" w:color="auto" w:fill="FFFFFF"/>
        </w:rPr>
        <w:t xml:space="preserve"> 3</w:t>
      </w:r>
      <w:r w:rsidR="00AC7F7A">
        <w:rPr>
          <w:rFonts w:ascii="Helvetica" w:hAnsi="Helvetica" w:cs="Helvetica"/>
          <w:sz w:val="21"/>
          <w:szCs w:val="21"/>
          <w:shd w:val="clear" w:color="auto" w:fill="FFFFFF"/>
        </w:rPr>
        <w:t>1</w:t>
      </w:r>
      <w:r w:rsidRPr="000F495B">
        <w:rPr>
          <w:rFonts w:ascii="Helvetica" w:hAnsi="Helvetica" w:cs="Helvetica"/>
          <w:sz w:val="21"/>
          <w:szCs w:val="21"/>
          <w:shd w:val="clear" w:color="auto" w:fill="FFFFFF"/>
        </w:rPr>
        <w:t>, 202</w:t>
      </w:r>
      <w:r w:rsidR="0028633B">
        <w:rPr>
          <w:rFonts w:ascii="Helvetica" w:hAnsi="Helvetica" w:cs="Helvetica"/>
          <w:sz w:val="21"/>
          <w:szCs w:val="21"/>
          <w:shd w:val="clear" w:color="auto" w:fill="FFFFFF"/>
        </w:rPr>
        <w:t>4</w:t>
      </w:r>
      <w:r w:rsidRPr="000F495B">
        <w:rPr>
          <w:rFonts w:ascii="Helvetica" w:hAnsi="Helvetica" w:cs="Helvetica"/>
          <w:sz w:val="21"/>
          <w:szCs w:val="21"/>
          <w:shd w:val="clear" w:color="auto" w:fill="FFFFFF"/>
        </w:rPr>
        <w:t xml:space="preserve">. </w:t>
      </w:r>
    </w:p>
    <w:p w14:paraId="6E9D8EFA" w14:textId="77777777" w:rsidR="00C7427A" w:rsidRPr="004C4A07" w:rsidRDefault="00C7427A" w:rsidP="004C4A07">
      <w:pPr>
        <w:pStyle w:val="ListParagraph"/>
        <w:rPr>
          <w:rFonts w:ascii="Helvetica" w:hAnsi="Helvetica" w:cs="Helvetica"/>
          <w:sz w:val="21"/>
          <w:szCs w:val="21"/>
          <w:shd w:val="clear" w:color="auto" w:fill="FFFFFF"/>
        </w:rPr>
      </w:pPr>
    </w:p>
    <w:p w14:paraId="31719CEA" w14:textId="11B2D7F8" w:rsidR="00C7427A" w:rsidRPr="002C36E5" w:rsidRDefault="00C7427A" w:rsidP="002C36E5">
      <w:pPr>
        <w:pStyle w:val="ListParagraph"/>
        <w:numPr>
          <w:ilvl w:val="0"/>
          <w:numId w:val="5"/>
        </w:numPr>
        <w:jc w:val="both"/>
        <w:rPr>
          <w:rFonts w:ascii="Helvetica" w:hAnsi="Helvetica" w:cs="Helvetica"/>
          <w:sz w:val="21"/>
          <w:szCs w:val="21"/>
          <w:shd w:val="clear" w:color="auto" w:fill="FFFFFF"/>
        </w:rPr>
      </w:pPr>
      <w:r>
        <w:rPr>
          <w:rFonts w:ascii="Helvetica" w:hAnsi="Helvetica" w:cs="Helvetica"/>
          <w:sz w:val="21"/>
          <w:szCs w:val="21"/>
          <w:shd w:val="clear" w:color="auto" w:fill="FFFFFF"/>
        </w:rPr>
        <w:t>The Company</w:t>
      </w:r>
      <w:r w:rsidR="00D0641C">
        <w:rPr>
          <w:rFonts w:ascii="Helvetica" w:hAnsi="Helvetica" w:cs="Helvetica"/>
          <w:sz w:val="21"/>
          <w:szCs w:val="21"/>
          <w:shd w:val="clear" w:color="auto" w:fill="FFFFFF"/>
        </w:rPr>
        <w:t xml:space="preserve"> mad</w:t>
      </w:r>
      <w:r w:rsidR="009137E3">
        <w:rPr>
          <w:rFonts w:ascii="Helvetica" w:hAnsi="Helvetica" w:cs="Helvetica"/>
          <w:sz w:val="21"/>
          <w:szCs w:val="21"/>
          <w:shd w:val="clear" w:color="auto" w:fill="FFFFFF"/>
        </w:rPr>
        <w:t>e</w:t>
      </w:r>
      <w:r>
        <w:rPr>
          <w:rFonts w:ascii="Helvetica" w:hAnsi="Helvetica" w:cs="Helvetica"/>
          <w:sz w:val="21"/>
          <w:szCs w:val="21"/>
          <w:shd w:val="clear" w:color="auto" w:fill="FFFFFF"/>
        </w:rPr>
        <w:t xml:space="preserve"> significant progress</w:t>
      </w:r>
      <w:r w:rsidR="0098195F">
        <w:rPr>
          <w:rFonts w:ascii="Helvetica" w:hAnsi="Helvetica" w:cs="Helvetica"/>
          <w:sz w:val="21"/>
          <w:szCs w:val="21"/>
          <w:shd w:val="clear" w:color="auto" w:fill="FFFFFF"/>
        </w:rPr>
        <w:t xml:space="preserve"> in the areas of intellectual property and</w:t>
      </w:r>
      <w:r w:rsidR="009137E3">
        <w:rPr>
          <w:rFonts w:ascii="Helvetica" w:hAnsi="Helvetica" w:cs="Helvetica"/>
          <w:sz w:val="21"/>
          <w:szCs w:val="21"/>
          <w:shd w:val="clear" w:color="auto" w:fill="FFFFFF"/>
        </w:rPr>
        <w:t xml:space="preserve"> the</w:t>
      </w:r>
      <w:r w:rsidR="0098195F">
        <w:rPr>
          <w:rFonts w:ascii="Helvetica" w:hAnsi="Helvetica" w:cs="Helvetica"/>
          <w:sz w:val="21"/>
          <w:szCs w:val="21"/>
          <w:shd w:val="clear" w:color="auto" w:fill="FFFFFF"/>
        </w:rPr>
        <w:t xml:space="preserve"> </w:t>
      </w:r>
      <w:r w:rsidR="009137E3">
        <w:rPr>
          <w:rFonts w:ascii="Helvetica" w:hAnsi="Helvetica" w:cs="Helvetica"/>
          <w:sz w:val="21"/>
          <w:szCs w:val="21"/>
          <w:shd w:val="clear" w:color="auto" w:fill="FFFFFF"/>
        </w:rPr>
        <w:t>manufacturing process for its</w:t>
      </w:r>
      <w:r w:rsidR="00DF21F3">
        <w:rPr>
          <w:rFonts w:ascii="Helvetica" w:hAnsi="Helvetica" w:cs="Helvetica"/>
          <w:sz w:val="21"/>
          <w:szCs w:val="21"/>
          <w:shd w:val="clear" w:color="auto" w:fill="FFFFFF"/>
        </w:rPr>
        <w:t xml:space="preserve"> CellerateRX</w:t>
      </w:r>
      <w:r w:rsidR="009D60BA" w:rsidRPr="00A55806">
        <w:rPr>
          <w:rFonts w:ascii="Helvetica" w:hAnsi="Helvetica" w:cs="Helvetica"/>
          <w:sz w:val="21"/>
          <w:szCs w:val="21"/>
          <w:shd w:val="clear" w:color="auto" w:fill="FFFFFF"/>
          <w:vertAlign w:val="superscript"/>
        </w:rPr>
        <w:t>®</w:t>
      </w:r>
      <w:r w:rsidR="00DF21F3">
        <w:rPr>
          <w:rFonts w:ascii="Helvetica" w:hAnsi="Helvetica" w:cs="Helvetica"/>
          <w:sz w:val="21"/>
          <w:szCs w:val="21"/>
          <w:shd w:val="clear" w:color="auto" w:fill="FFFFFF"/>
        </w:rPr>
        <w:t xml:space="preserve"> product.</w:t>
      </w:r>
    </w:p>
    <w:p w14:paraId="4876F7E4" w14:textId="77777777" w:rsidR="00F92501" w:rsidRPr="00F92501" w:rsidRDefault="00F92501" w:rsidP="00F92501">
      <w:pPr>
        <w:pStyle w:val="ListParagraph"/>
        <w:jc w:val="both"/>
        <w:rPr>
          <w:rFonts w:ascii="Helvetica" w:hAnsi="Helvetica" w:cs="Helvetica"/>
          <w:b/>
          <w:bCs/>
          <w:sz w:val="21"/>
          <w:szCs w:val="21"/>
          <w:shd w:val="clear" w:color="auto" w:fill="FFFFFF"/>
        </w:rPr>
      </w:pPr>
    </w:p>
    <w:p w14:paraId="2AA75AD2" w14:textId="3F8F7EA6" w:rsidR="008B47AF" w:rsidRDefault="008B47AF" w:rsidP="008B47AF">
      <w:pPr>
        <w:pStyle w:val="ListParagraph"/>
        <w:numPr>
          <w:ilvl w:val="0"/>
          <w:numId w:val="5"/>
        </w:numPr>
        <w:jc w:val="both"/>
        <w:rPr>
          <w:rFonts w:ascii="Helvetica" w:hAnsi="Helvetica" w:cs="Helvetica"/>
          <w:sz w:val="21"/>
          <w:szCs w:val="21"/>
          <w:shd w:val="clear" w:color="auto" w:fill="FFFFFF"/>
        </w:rPr>
      </w:pPr>
      <w:r>
        <w:rPr>
          <w:rFonts w:ascii="Helvetica" w:hAnsi="Helvetica" w:cs="Helvetica"/>
          <w:sz w:val="21"/>
          <w:szCs w:val="21"/>
          <w:shd w:val="clear" w:color="auto" w:fill="FFFFFF"/>
        </w:rPr>
        <w:t xml:space="preserve">Subsequent to the end of the quarter, the Company announced </w:t>
      </w:r>
      <w:r w:rsidR="005E1749">
        <w:rPr>
          <w:rFonts w:ascii="Helvetica" w:hAnsi="Helvetica" w:cs="Helvetica"/>
          <w:sz w:val="21"/>
          <w:szCs w:val="21"/>
          <w:shd w:val="clear" w:color="auto" w:fill="FFFFFF"/>
        </w:rPr>
        <w:t xml:space="preserve">the </w:t>
      </w:r>
      <w:r w:rsidR="00EC3D32">
        <w:rPr>
          <w:rFonts w:ascii="Helvetica" w:hAnsi="Helvetica" w:cs="Helvetica"/>
          <w:sz w:val="21"/>
          <w:szCs w:val="21"/>
          <w:shd w:val="clear" w:color="auto" w:fill="FFFFFF"/>
        </w:rPr>
        <w:t xml:space="preserve">appointments of Jake Waldrop as Chief Operating Officer and </w:t>
      </w:r>
      <w:r w:rsidR="00D82AED">
        <w:rPr>
          <w:rFonts w:ascii="Helvetica" w:hAnsi="Helvetica" w:cs="Helvetica"/>
          <w:sz w:val="21"/>
          <w:szCs w:val="21"/>
          <w:shd w:val="clear" w:color="auto" w:fill="FFFFFF"/>
        </w:rPr>
        <w:t>Tyler Palmer as Chief Corporate Development and Strategy Officer</w:t>
      </w:r>
      <w:r w:rsidR="0028633B">
        <w:rPr>
          <w:rFonts w:ascii="Helvetica" w:hAnsi="Helvetica" w:cs="Helvetica"/>
          <w:sz w:val="21"/>
          <w:szCs w:val="21"/>
          <w:shd w:val="clear" w:color="auto" w:fill="FFFFFF"/>
        </w:rPr>
        <w:t>.</w:t>
      </w:r>
    </w:p>
    <w:p w14:paraId="3A0B9FB8" w14:textId="77777777" w:rsidR="00D82AED" w:rsidRPr="00D82AED" w:rsidRDefault="00D82AED" w:rsidP="00D82AED">
      <w:pPr>
        <w:pStyle w:val="ListParagraph"/>
        <w:rPr>
          <w:rFonts w:ascii="Helvetica" w:hAnsi="Helvetica" w:cs="Helvetica"/>
          <w:sz w:val="21"/>
          <w:szCs w:val="21"/>
          <w:shd w:val="clear" w:color="auto" w:fill="FFFFFF"/>
        </w:rPr>
      </w:pPr>
    </w:p>
    <w:p w14:paraId="512F5487" w14:textId="4B2308B7" w:rsidR="00D35708" w:rsidRDefault="00D82AED" w:rsidP="003A5AC1">
      <w:pPr>
        <w:pStyle w:val="ListParagraph"/>
        <w:numPr>
          <w:ilvl w:val="0"/>
          <w:numId w:val="5"/>
        </w:numPr>
        <w:jc w:val="both"/>
        <w:rPr>
          <w:rFonts w:ascii="Helvetica" w:hAnsi="Helvetica" w:cs="Helvetica"/>
          <w:sz w:val="21"/>
          <w:szCs w:val="21"/>
          <w:shd w:val="clear" w:color="auto" w:fill="FFFFFF"/>
        </w:rPr>
      </w:pPr>
      <w:r>
        <w:rPr>
          <w:rFonts w:ascii="Helvetica" w:hAnsi="Helvetica" w:cs="Helvetica"/>
          <w:sz w:val="21"/>
          <w:szCs w:val="21"/>
          <w:shd w:val="clear" w:color="auto" w:fill="FFFFFF"/>
        </w:rPr>
        <w:t xml:space="preserve">Subsequent to the end of the quarter, the Company announced </w:t>
      </w:r>
      <w:r w:rsidR="00183FE4" w:rsidRPr="00183FE4">
        <w:rPr>
          <w:rFonts w:ascii="Helvetica" w:hAnsi="Helvetica" w:cs="Helvetica"/>
          <w:sz w:val="21"/>
          <w:szCs w:val="21"/>
          <w:shd w:val="clear" w:color="auto" w:fill="FFFFFF"/>
        </w:rPr>
        <w:t>that it has entered into a $55.0 million non-dilutive term loan agreement with CRG Servicing LLC, an affiliate of CRG LP, a healthcare focused investment fund, to support the Company’s growth initiatives in 2024 and 2025.</w:t>
      </w:r>
      <w:r w:rsidR="00183FE4">
        <w:rPr>
          <w:rFonts w:ascii="Helvetica" w:hAnsi="Helvetica" w:cs="Helvetica"/>
          <w:sz w:val="21"/>
          <w:szCs w:val="21"/>
          <w:shd w:val="clear" w:color="auto" w:fill="FFFFFF"/>
        </w:rPr>
        <w:t xml:space="preserve"> The Company </w:t>
      </w:r>
      <w:r w:rsidR="003A5AC1" w:rsidRPr="003A5AC1">
        <w:rPr>
          <w:rFonts w:ascii="Helvetica" w:hAnsi="Helvetica" w:cs="Helvetica"/>
          <w:sz w:val="21"/>
          <w:szCs w:val="21"/>
          <w:shd w:val="clear" w:color="auto" w:fill="FFFFFF"/>
        </w:rPr>
        <w:t>received $15.0 million in gross proceeds at closing and</w:t>
      </w:r>
      <w:r w:rsidR="00DE5F27">
        <w:rPr>
          <w:rFonts w:ascii="Helvetica" w:hAnsi="Helvetica" w:cs="Helvetica"/>
          <w:sz w:val="21"/>
          <w:szCs w:val="21"/>
          <w:shd w:val="clear" w:color="auto" w:fill="FFFFFF"/>
        </w:rPr>
        <w:t>, subject to certain conditions, has the option to</w:t>
      </w:r>
      <w:r w:rsidR="003A5AC1" w:rsidRPr="003A5AC1">
        <w:rPr>
          <w:rFonts w:ascii="Helvetica" w:hAnsi="Helvetica" w:cs="Helvetica"/>
          <w:sz w:val="21"/>
          <w:szCs w:val="21"/>
          <w:shd w:val="clear" w:color="auto" w:fill="FFFFFF"/>
        </w:rPr>
        <w:t xml:space="preserve"> draw up to $40.0 million in additional funds in two tranches before June 30, 2025.</w:t>
      </w:r>
    </w:p>
    <w:p w14:paraId="537A8A34" w14:textId="77777777" w:rsidR="00EF2810" w:rsidRPr="00EF2810" w:rsidRDefault="00EF2810" w:rsidP="00EF2810">
      <w:pPr>
        <w:pStyle w:val="ListParagraph"/>
        <w:rPr>
          <w:rFonts w:ascii="Helvetica" w:hAnsi="Helvetica" w:cs="Helvetica"/>
          <w:sz w:val="21"/>
          <w:szCs w:val="21"/>
          <w:shd w:val="clear" w:color="auto" w:fill="FFFFFF"/>
        </w:rPr>
      </w:pPr>
    </w:p>
    <w:p w14:paraId="6BC72F9D" w14:textId="70775A4B" w:rsidR="00EF2810" w:rsidRPr="00525E03" w:rsidRDefault="00F500FF" w:rsidP="003A5AC1">
      <w:pPr>
        <w:pStyle w:val="ListParagraph"/>
        <w:numPr>
          <w:ilvl w:val="0"/>
          <w:numId w:val="5"/>
        </w:numPr>
        <w:jc w:val="both"/>
        <w:rPr>
          <w:rFonts w:ascii="Helvetica" w:hAnsi="Helvetica" w:cs="Helvetica"/>
          <w:sz w:val="21"/>
          <w:szCs w:val="21"/>
          <w:shd w:val="clear" w:color="auto" w:fill="FFFFFF"/>
        </w:rPr>
      </w:pPr>
      <w:r w:rsidRPr="00525E03">
        <w:rPr>
          <w:rFonts w:ascii="Helvetica" w:hAnsi="Helvetica" w:cs="Helvetica"/>
          <w:sz w:val="21"/>
          <w:szCs w:val="21"/>
          <w:shd w:val="clear" w:color="auto" w:fill="FFFFFF"/>
        </w:rPr>
        <w:t xml:space="preserve">Subsequent to the end of the quarter, </w:t>
      </w:r>
      <w:r w:rsidR="00730DE3" w:rsidRPr="00525E03">
        <w:rPr>
          <w:rFonts w:ascii="Helvetica" w:hAnsi="Helvetica" w:cs="Helvetica"/>
          <w:sz w:val="21"/>
          <w:szCs w:val="21"/>
          <w:shd w:val="clear" w:color="auto" w:fill="FFFFFF"/>
        </w:rPr>
        <w:t>f</w:t>
      </w:r>
      <w:r w:rsidRPr="00525E03">
        <w:rPr>
          <w:rFonts w:ascii="Helvetica" w:hAnsi="Helvetica" w:cs="Helvetica"/>
          <w:sz w:val="21"/>
          <w:szCs w:val="21"/>
          <w:shd w:val="clear" w:color="auto" w:fill="FFFFFF"/>
        </w:rPr>
        <w:t xml:space="preserve">ormer CEO Zach Fleming </w:t>
      </w:r>
      <w:r w:rsidR="00E734FC">
        <w:rPr>
          <w:rFonts w:ascii="Helvetica" w:hAnsi="Helvetica" w:cs="Helvetica"/>
          <w:sz w:val="21"/>
          <w:szCs w:val="21"/>
          <w:shd w:val="clear" w:color="auto" w:fill="FFFFFF"/>
        </w:rPr>
        <w:t>delivered notice of his resignation</w:t>
      </w:r>
      <w:r w:rsidR="004F1307">
        <w:rPr>
          <w:rFonts w:ascii="Helvetica" w:hAnsi="Helvetica" w:cs="Helvetica"/>
          <w:sz w:val="21"/>
          <w:szCs w:val="21"/>
          <w:shd w:val="clear" w:color="auto" w:fill="FFFFFF"/>
        </w:rPr>
        <w:t xml:space="preserve">, effective </w:t>
      </w:r>
      <w:r w:rsidR="00FA2A3B">
        <w:rPr>
          <w:rFonts w:ascii="Helvetica" w:hAnsi="Helvetica" w:cs="Helvetica"/>
          <w:sz w:val="21"/>
          <w:szCs w:val="21"/>
          <w:shd w:val="clear" w:color="auto" w:fill="FFFFFF"/>
        </w:rPr>
        <w:t>May 10, 2024</w:t>
      </w:r>
      <w:r w:rsidR="00050B6C" w:rsidRPr="00525E03">
        <w:rPr>
          <w:rFonts w:ascii="Helvetica" w:hAnsi="Helvetica" w:cs="Helvetica"/>
          <w:sz w:val="21"/>
          <w:szCs w:val="21"/>
          <w:shd w:val="clear" w:color="auto" w:fill="FFFFFF"/>
        </w:rPr>
        <w:t xml:space="preserve">. </w:t>
      </w:r>
      <w:r w:rsidR="0032139E" w:rsidRPr="00525E03">
        <w:rPr>
          <w:rFonts w:ascii="Helvetica" w:hAnsi="Helvetica" w:cs="Helvetica"/>
          <w:sz w:val="21"/>
          <w:szCs w:val="21"/>
          <w:shd w:val="clear" w:color="auto" w:fill="FFFFFF"/>
        </w:rPr>
        <w:t xml:space="preserve">Ron Nixon, </w:t>
      </w:r>
      <w:r w:rsidR="005F78D0" w:rsidRPr="00525E03">
        <w:rPr>
          <w:rFonts w:ascii="Helvetica" w:hAnsi="Helvetica" w:cs="Helvetica"/>
          <w:sz w:val="21"/>
          <w:szCs w:val="21"/>
          <w:shd w:val="clear" w:color="auto" w:fill="FFFFFF"/>
        </w:rPr>
        <w:t>Sanara’s Chairman, who has been deeply involved</w:t>
      </w:r>
      <w:r w:rsidR="008E0B56" w:rsidRPr="00525E03">
        <w:rPr>
          <w:rFonts w:ascii="Helvetica" w:hAnsi="Helvetica" w:cs="Helvetica"/>
          <w:sz w:val="21"/>
          <w:szCs w:val="21"/>
          <w:shd w:val="clear" w:color="auto" w:fill="FFFFFF"/>
        </w:rPr>
        <w:t xml:space="preserve"> in </w:t>
      </w:r>
      <w:r w:rsidR="00975FFE">
        <w:rPr>
          <w:rFonts w:ascii="Helvetica" w:hAnsi="Helvetica" w:cs="Helvetica"/>
          <w:sz w:val="21"/>
          <w:szCs w:val="21"/>
          <w:shd w:val="clear" w:color="auto" w:fill="FFFFFF"/>
        </w:rPr>
        <w:t xml:space="preserve">developing </w:t>
      </w:r>
      <w:r w:rsidR="00975FFE" w:rsidRPr="00525E03">
        <w:rPr>
          <w:rFonts w:ascii="Helvetica" w:hAnsi="Helvetica" w:cs="Helvetica"/>
          <w:sz w:val="21"/>
          <w:szCs w:val="21"/>
          <w:shd w:val="clear" w:color="auto" w:fill="FFFFFF"/>
        </w:rPr>
        <w:t>and</w:t>
      </w:r>
      <w:r w:rsidR="008E0B56" w:rsidRPr="00525E03">
        <w:rPr>
          <w:rFonts w:ascii="Helvetica" w:hAnsi="Helvetica" w:cs="Helvetica"/>
          <w:sz w:val="21"/>
          <w:szCs w:val="21"/>
          <w:shd w:val="clear" w:color="auto" w:fill="FFFFFF"/>
        </w:rPr>
        <w:t xml:space="preserve"> executing the Company’s strategic vision</w:t>
      </w:r>
      <w:r w:rsidR="00710967">
        <w:rPr>
          <w:rFonts w:ascii="Helvetica" w:hAnsi="Helvetica" w:cs="Helvetica"/>
          <w:sz w:val="21"/>
          <w:szCs w:val="21"/>
          <w:shd w:val="clear" w:color="auto" w:fill="FFFFFF"/>
        </w:rPr>
        <w:t>,</w:t>
      </w:r>
      <w:r w:rsidR="005E6FA8" w:rsidRPr="00525E03">
        <w:rPr>
          <w:rFonts w:ascii="Helvetica" w:hAnsi="Helvetica" w:cs="Helvetica"/>
          <w:sz w:val="21"/>
          <w:szCs w:val="21"/>
          <w:shd w:val="clear" w:color="auto" w:fill="FFFFFF"/>
        </w:rPr>
        <w:t xml:space="preserve"> has been appointed CEO by Sanara’s Board of Directors.</w:t>
      </w:r>
      <w:r w:rsidR="00A0478A" w:rsidRPr="00525E03">
        <w:rPr>
          <w:rFonts w:ascii="Helvetica" w:hAnsi="Helvetica" w:cs="Helvetica"/>
          <w:sz w:val="21"/>
          <w:szCs w:val="21"/>
          <w:shd w:val="clear" w:color="auto" w:fill="FFFFFF"/>
        </w:rPr>
        <w:t xml:space="preserve"> </w:t>
      </w:r>
    </w:p>
    <w:p w14:paraId="0D53C2AD" w14:textId="75D2FF48" w:rsidR="00D35708" w:rsidRPr="00A51FC2" w:rsidRDefault="00236769" w:rsidP="00A51FC2">
      <w:pPr>
        <w:jc w:val="both"/>
        <w:rPr>
          <w:rFonts w:ascii="Helvetica" w:hAnsi="Helvetica" w:cs="Helvetica"/>
          <w:b/>
          <w:bCs/>
          <w:sz w:val="21"/>
          <w:szCs w:val="21"/>
          <w:shd w:val="clear" w:color="auto" w:fill="FFFFFF"/>
        </w:rPr>
      </w:pPr>
      <w:r>
        <w:rPr>
          <w:rFonts w:ascii="Helvetica" w:hAnsi="Helvetica" w:cs="Helvetica"/>
          <w:b/>
          <w:bCs/>
          <w:sz w:val="21"/>
          <w:szCs w:val="21"/>
          <w:shd w:val="clear" w:color="auto" w:fill="FFFFFF"/>
        </w:rPr>
        <w:t>First Quarter 2024</w:t>
      </w:r>
      <w:r w:rsidR="00BC4A8E">
        <w:rPr>
          <w:rFonts w:ascii="Helvetica" w:hAnsi="Helvetica" w:cs="Helvetica"/>
          <w:b/>
          <w:bCs/>
          <w:sz w:val="21"/>
          <w:szCs w:val="21"/>
          <w:shd w:val="clear" w:color="auto" w:fill="FFFFFF"/>
        </w:rPr>
        <w:t xml:space="preserve"> </w:t>
      </w:r>
      <w:r w:rsidR="00D35708" w:rsidRPr="00A51FC2">
        <w:rPr>
          <w:rFonts w:ascii="Helvetica" w:hAnsi="Helvetica" w:cs="Helvetica"/>
          <w:b/>
          <w:bCs/>
          <w:sz w:val="21"/>
          <w:szCs w:val="21"/>
          <w:shd w:val="clear" w:color="auto" w:fill="FFFFFF"/>
        </w:rPr>
        <w:t>Sales Analysis</w:t>
      </w:r>
    </w:p>
    <w:p w14:paraId="5280FBE9" w14:textId="0ED14CCF" w:rsidR="002A0479" w:rsidRPr="005A5964" w:rsidRDefault="002A0479" w:rsidP="002A0479">
      <w:pPr>
        <w:jc w:val="both"/>
        <w:rPr>
          <w:rFonts w:ascii="Helvetica" w:eastAsia="Times New Roman" w:hAnsi="Helvetica" w:cs="Helvetica"/>
          <w:color w:val="222222"/>
          <w:sz w:val="21"/>
          <w:szCs w:val="21"/>
        </w:rPr>
      </w:pPr>
      <w:r>
        <w:rPr>
          <w:rFonts w:ascii="Helvetica" w:hAnsi="Helvetica" w:cs="Helvetica"/>
          <w:sz w:val="21"/>
          <w:szCs w:val="21"/>
          <w:shd w:val="clear" w:color="auto" w:fill="FFFFFF"/>
        </w:rPr>
        <w:t>In</w:t>
      </w:r>
      <w:r w:rsidR="00741D11">
        <w:rPr>
          <w:rFonts w:ascii="Helvetica" w:hAnsi="Helvetica" w:cs="Helvetica"/>
          <w:sz w:val="21"/>
          <w:szCs w:val="21"/>
          <w:shd w:val="clear" w:color="auto" w:fill="FFFFFF"/>
        </w:rPr>
        <w:t xml:space="preserve"> the first quarter of</w:t>
      </w:r>
      <w:r>
        <w:rPr>
          <w:rFonts w:ascii="Helvetica" w:hAnsi="Helvetica" w:cs="Helvetica"/>
          <w:sz w:val="21"/>
          <w:szCs w:val="21"/>
          <w:shd w:val="clear" w:color="auto" w:fill="FFFFFF"/>
        </w:rPr>
        <w:t xml:space="preserve"> 202</w:t>
      </w:r>
      <w:r w:rsidR="00705F1E">
        <w:rPr>
          <w:rFonts w:ascii="Helvetica" w:hAnsi="Helvetica" w:cs="Helvetica"/>
          <w:sz w:val="21"/>
          <w:szCs w:val="21"/>
          <w:shd w:val="clear" w:color="auto" w:fill="FFFFFF"/>
        </w:rPr>
        <w:t>4</w:t>
      </w:r>
      <w:r>
        <w:rPr>
          <w:rFonts w:ascii="Helvetica" w:hAnsi="Helvetica" w:cs="Helvetica"/>
          <w:sz w:val="21"/>
          <w:szCs w:val="21"/>
          <w:shd w:val="clear" w:color="auto" w:fill="FFFFFF"/>
        </w:rPr>
        <w:t xml:space="preserve">, Sanara </w:t>
      </w:r>
      <w:r w:rsidR="00C27B90">
        <w:rPr>
          <w:rFonts w:ascii="Helvetica" w:hAnsi="Helvetica" w:cs="Helvetica"/>
          <w:sz w:val="21"/>
          <w:szCs w:val="21"/>
          <w:shd w:val="clear" w:color="auto" w:fill="FFFFFF"/>
        </w:rPr>
        <w:t xml:space="preserve">focused on </w:t>
      </w:r>
      <w:r w:rsidR="00AC3EFC">
        <w:rPr>
          <w:rFonts w:ascii="Helvetica" w:hAnsi="Helvetica" w:cs="Helvetica"/>
          <w:sz w:val="21"/>
          <w:szCs w:val="21"/>
          <w:shd w:val="clear" w:color="auto" w:fill="FFFFFF"/>
        </w:rPr>
        <w:t>increasing</w:t>
      </w:r>
      <w:r w:rsidR="00D5380E">
        <w:rPr>
          <w:rFonts w:ascii="Helvetica" w:hAnsi="Helvetica" w:cs="Helvetica"/>
          <w:sz w:val="21"/>
          <w:szCs w:val="21"/>
          <w:shd w:val="clear" w:color="auto" w:fill="FFFFFF"/>
        </w:rPr>
        <w:t xml:space="preserve"> </w:t>
      </w:r>
      <w:r w:rsidR="003B303B">
        <w:rPr>
          <w:rFonts w:ascii="Helvetica" w:hAnsi="Helvetica" w:cs="Helvetica"/>
          <w:sz w:val="21"/>
          <w:szCs w:val="21"/>
          <w:shd w:val="clear" w:color="auto" w:fill="FFFFFF"/>
        </w:rPr>
        <w:t xml:space="preserve">the use of its products in new and existing territories, </w:t>
      </w:r>
      <w:r w:rsidR="008B304A">
        <w:rPr>
          <w:rFonts w:ascii="Helvetica" w:hAnsi="Helvetica" w:cs="Helvetica"/>
          <w:sz w:val="21"/>
          <w:szCs w:val="21"/>
          <w:shd w:val="clear" w:color="auto" w:fill="FFFFFF"/>
        </w:rPr>
        <w:t>expanding usage in new specialty areas</w:t>
      </w:r>
      <w:r w:rsidR="007320B9">
        <w:rPr>
          <w:rFonts w:ascii="Helvetica" w:hAnsi="Helvetica" w:cs="Helvetica"/>
          <w:sz w:val="21"/>
          <w:szCs w:val="21"/>
          <w:shd w:val="clear" w:color="auto" w:fill="FFFFFF"/>
        </w:rPr>
        <w:t xml:space="preserve">, </w:t>
      </w:r>
      <w:r w:rsidR="006D2289">
        <w:rPr>
          <w:rFonts w:ascii="Helvetica" w:hAnsi="Helvetica" w:cs="Helvetica"/>
          <w:sz w:val="21"/>
          <w:szCs w:val="21"/>
          <w:shd w:val="clear" w:color="auto" w:fill="FFFFFF"/>
        </w:rPr>
        <w:t xml:space="preserve">and </w:t>
      </w:r>
      <w:r w:rsidR="00727D2F">
        <w:rPr>
          <w:rFonts w:ascii="Helvetica" w:hAnsi="Helvetica" w:cs="Helvetica"/>
          <w:sz w:val="21"/>
          <w:szCs w:val="21"/>
          <w:shd w:val="clear" w:color="auto" w:fill="FFFFFF"/>
        </w:rPr>
        <w:t>increasing per facility sales</w:t>
      </w:r>
      <w:r w:rsidRPr="00E10D27">
        <w:rPr>
          <w:rFonts w:ascii="Helvetica" w:hAnsi="Helvetica" w:cs="Helvetica"/>
          <w:sz w:val="21"/>
          <w:szCs w:val="21"/>
          <w:shd w:val="clear" w:color="auto" w:fill="FFFFFF"/>
        </w:rPr>
        <w:t>.</w:t>
      </w:r>
      <w:r w:rsidR="00AC3EFC">
        <w:rPr>
          <w:rFonts w:ascii="Helvetica" w:hAnsi="Helvetica" w:cs="Helvetica"/>
          <w:sz w:val="21"/>
          <w:szCs w:val="21"/>
          <w:shd w:val="clear" w:color="auto" w:fill="FFFFFF"/>
        </w:rPr>
        <w:t xml:space="preserve"> </w:t>
      </w:r>
      <w:r w:rsidRPr="00DB5EE5">
        <w:rPr>
          <w:rFonts w:ascii="Helvetica" w:eastAsia="Times New Roman" w:hAnsi="Helvetica" w:cs="Helvetica"/>
          <w:color w:val="222222"/>
          <w:sz w:val="21"/>
          <w:szCs w:val="21"/>
        </w:rPr>
        <w:t xml:space="preserve">For the </w:t>
      </w:r>
      <w:r w:rsidR="00AC3EFC">
        <w:rPr>
          <w:rFonts w:ascii="Helvetica" w:eastAsia="Times New Roman" w:hAnsi="Helvetica" w:cs="Helvetica"/>
          <w:color w:val="222222"/>
          <w:sz w:val="21"/>
          <w:szCs w:val="21"/>
        </w:rPr>
        <w:t>quarter</w:t>
      </w:r>
      <w:r w:rsidRPr="00DB5EE5">
        <w:rPr>
          <w:rFonts w:ascii="Helvetica" w:eastAsia="Times New Roman" w:hAnsi="Helvetica" w:cs="Helvetica"/>
          <w:color w:val="222222"/>
          <w:sz w:val="21"/>
          <w:szCs w:val="21"/>
        </w:rPr>
        <w:t xml:space="preserve"> ended </w:t>
      </w:r>
      <w:r w:rsidR="00AC3EFC">
        <w:rPr>
          <w:rFonts w:ascii="Helvetica" w:eastAsia="Times New Roman" w:hAnsi="Helvetica" w:cs="Helvetica"/>
          <w:color w:val="222222"/>
          <w:sz w:val="21"/>
          <w:szCs w:val="21"/>
        </w:rPr>
        <w:t>March</w:t>
      </w:r>
      <w:r w:rsidRPr="00DB5EE5">
        <w:rPr>
          <w:rFonts w:ascii="Helvetica" w:eastAsia="Times New Roman" w:hAnsi="Helvetica" w:cs="Helvetica"/>
          <w:color w:val="222222"/>
          <w:sz w:val="21"/>
          <w:szCs w:val="21"/>
        </w:rPr>
        <w:t xml:space="preserve"> 31, 202</w:t>
      </w:r>
      <w:r w:rsidR="00AC3EFC">
        <w:rPr>
          <w:rFonts w:ascii="Helvetica" w:eastAsia="Times New Roman" w:hAnsi="Helvetica" w:cs="Helvetica"/>
          <w:color w:val="222222"/>
          <w:sz w:val="21"/>
          <w:szCs w:val="21"/>
        </w:rPr>
        <w:t>4</w:t>
      </w:r>
      <w:r w:rsidRPr="00DB5EE5">
        <w:rPr>
          <w:rFonts w:ascii="Helvetica" w:eastAsia="Times New Roman" w:hAnsi="Helvetica" w:cs="Helvetica"/>
          <w:color w:val="222222"/>
          <w:sz w:val="21"/>
          <w:szCs w:val="21"/>
        </w:rPr>
        <w:t xml:space="preserve">, </w:t>
      </w:r>
      <w:r>
        <w:rPr>
          <w:rFonts w:ascii="Helvetica" w:eastAsia="Times New Roman" w:hAnsi="Helvetica" w:cs="Helvetica"/>
          <w:color w:val="222222"/>
          <w:sz w:val="21"/>
          <w:szCs w:val="21"/>
        </w:rPr>
        <w:t>Sanara</w:t>
      </w:r>
      <w:r w:rsidRPr="00DB5EE5">
        <w:rPr>
          <w:rFonts w:ascii="Helvetica" w:eastAsia="Times New Roman" w:hAnsi="Helvetica" w:cs="Helvetica"/>
          <w:color w:val="222222"/>
          <w:sz w:val="21"/>
          <w:szCs w:val="21"/>
        </w:rPr>
        <w:t xml:space="preserve"> generated net revenue of $</w:t>
      </w:r>
      <w:r w:rsidR="00B015D0">
        <w:rPr>
          <w:rFonts w:ascii="Helvetica" w:eastAsia="Times New Roman" w:hAnsi="Helvetica" w:cs="Helvetica"/>
          <w:color w:val="222222"/>
          <w:sz w:val="21"/>
          <w:szCs w:val="21"/>
        </w:rPr>
        <w:t>18</w:t>
      </w:r>
      <w:r w:rsidRPr="00DB5EE5">
        <w:rPr>
          <w:rFonts w:ascii="Helvetica" w:eastAsia="Times New Roman" w:hAnsi="Helvetica" w:cs="Helvetica"/>
          <w:color w:val="222222"/>
          <w:sz w:val="21"/>
          <w:szCs w:val="21"/>
        </w:rPr>
        <w:t>.</w:t>
      </w:r>
      <w:r w:rsidR="00B015D0">
        <w:rPr>
          <w:rFonts w:ascii="Helvetica" w:eastAsia="Times New Roman" w:hAnsi="Helvetica" w:cs="Helvetica"/>
          <w:color w:val="222222"/>
          <w:sz w:val="21"/>
          <w:szCs w:val="21"/>
        </w:rPr>
        <w:t>5</w:t>
      </w:r>
      <w:r w:rsidRPr="00DB5EE5">
        <w:rPr>
          <w:rFonts w:ascii="Helvetica" w:eastAsia="Times New Roman" w:hAnsi="Helvetica" w:cs="Helvetica"/>
          <w:color w:val="222222"/>
          <w:sz w:val="21"/>
          <w:szCs w:val="21"/>
        </w:rPr>
        <w:t xml:space="preserve"> million compared to net revenue of $</w:t>
      </w:r>
      <w:r w:rsidR="003A09A3">
        <w:rPr>
          <w:rFonts w:ascii="Helvetica" w:eastAsia="Times New Roman" w:hAnsi="Helvetica" w:cs="Helvetica"/>
          <w:color w:val="222222"/>
          <w:sz w:val="21"/>
          <w:szCs w:val="21"/>
        </w:rPr>
        <w:t>15</w:t>
      </w:r>
      <w:r w:rsidRPr="00DB5EE5">
        <w:rPr>
          <w:rFonts w:ascii="Helvetica" w:eastAsia="Times New Roman" w:hAnsi="Helvetica" w:cs="Helvetica"/>
          <w:color w:val="222222"/>
          <w:sz w:val="21"/>
          <w:szCs w:val="21"/>
        </w:rPr>
        <w:t>.</w:t>
      </w:r>
      <w:r w:rsidR="003A09A3">
        <w:rPr>
          <w:rFonts w:ascii="Helvetica" w:eastAsia="Times New Roman" w:hAnsi="Helvetica" w:cs="Helvetica"/>
          <w:color w:val="222222"/>
          <w:sz w:val="21"/>
          <w:szCs w:val="21"/>
        </w:rPr>
        <w:t>5</w:t>
      </w:r>
      <w:r w:rsidRPr="00DB5EE5">
        <w:rPr>
          <w:rFonts w:ascii="Helvetica" w:eastAsia="Times New Roman" w:hAnsi="Helvetica" w:cs="Helvetica"/>
          <w:color w:val="222222"/>
          <w:sz w:val="21"/>
          <w:szCs w:val="21"/>
        </w:rPr>
        <w:t xml:space="preserve"> million for the </w:t>
      </w:r>
      <w:r w:rsidR="005F4782">
        <w:rPr>
          <w:rFonts w:ascii="Helvetica" w:eastAsia="Times New Roman" w:hAnsi="Helvetica" w:cs="Helvetica"/>
          <w:color w:val="222222"/>
          <w:sz w:val="21"/>
          <w:szCs w:val="21"/>
        </w:rPr>
        <w:t>quarter</w:t>
      </w:r>
      <w:r w:rsidRPr="00DB5EE5">
        <w:rPr>
          <w:rFonts w:ascii="Helvetica" w:eastAsia="Times New Roman" w:hAnsi="Helvetica" w:cs="Helvetica"/>
          <w:color w:val="222222"/>
          <w:sz w:val="21"/>
          <w:szCs w:val="21"/>
        </w:rPr>
        <w:t xml:space="preserve"> ended </w:t>
      </w:r>
      <w:r w:rsidR="005F4782">
        <w:rPr>
          <w:rFonts w:ascii="Helvetica" w:eastAsia="Times New Roman" w:hAnsi="Helvetica" w:cs="Helvetica"/>
          <w:color w:val="222222"/>
          <w:sz w:val="21"/>
          <w:szCs w:val="21"/>
        </w:rPr>
        <w:t>March</w:t>
      </w:r>
      <w:r w:rsidRPr="00DB5EE5">
        <w:rPr>
          <w:rFonts w:ascii="Helvetica" w:eastAsia="Times New Roman" w:hAnsi="Helvetica" w:cs="Helvetica"/>
          <w:color w:val="222222"/>
          <w:sz w:val="21"/>
          <w:szCs w:val="21"/>
        </w:rPr>
        <w:t xml:space="preserve"> 31, </w:t>
      </w:r>
      <w:r w:rsidR="0028633B" w:rsidRPr="00DB5EE5">
        <w:rPr>
          <w:rFonts w:ascii="Helvetica" w:eastAsia="Times New Roman" w:hAnsi="Helvetica" w:cs="Helvetica"/>
          <w:color w:val="222222"/>
          <w:sz w:val="21"/>
          <w:szCs w:val="21"/>
        </w:rPr>
        <w:t>202</w:t>
      </w:r>
      <w:r w:rsidR="0028633B">
        <w:rPr>
          <w:rFonts w:ascii="Helvetica" w:eastAsia="Times New Roman" w:hAnsi="Helvetica" w:cs="Helvetica"/>
          <w:color w:val="222222"/>
          <w:sz w:val="21"/>
          <w:szCs w:val="21"/>
        </w:rPr>
        <w:t>3</w:t>
      </w:r>
      <w:r w:rsidRPr="00DB5EE5">
        <w:rPr>
          <w:rFonts w:ascii="Helvetica" w:eastAsia="Times New Roman" w:hAnsi="Helvetica" w:cs="Helvetica"/>
          <w:color w:val="222222"/>
          <w:sz w:val="21"/>
          <w:szCs w:val="21"/>
        </w:rPr>
        <w:t xml:space="preserve">, a </w:t>
      </w:r>
      <w:r w:rsidR="005F4782">
        <w:rPr>
          <w:rFonts w:ascii="Helvetica" w:eastAsia="Times New Roman" w:hAnsi="Helvetica" w:cs="Helvetica"/>
          <w:color w:val="222222"/>
          <w:sz w:val="21"/>
          <w:szCs w:val="21"/>
        </w:rPr>
        <w:t>19</w:t>
      </w:r>
      <w:r w:rsidRPr="00DB5EE5">
        <w:rPr>
          <w:rFonts w:ascii="Helvetica" w:eastAsia="Times New Roman" w:hAnsi="Helvetica" w:cs="Helvetica"/>
          <w:color w:val="222222"/>
          <w:sz w:val="21"/>
          <w:szCs w:val="21"/>
        </w:rPr>
        <w:t>% increase from the prior year</w:t>
      </w:r>
      <w:r w:rsidR="0028633B">
        <w:rPr>
          <w:rFonts w:ascii="Helvetica" w:eastAsia="Times New Roman" w:hAnsi="Helvetica" w:cs="Helvetica"/>
          <w:color w:val="222222"/>
          <w:sz w:val="21"/>
          <w:szCs w:val="21"/>
        </w:rPr>
        <w:t xml:space="preserve"> period</w:t>
      </w:r>
      <w:r w:rsidRPr="00DB5EE5">
        <w:rPr>
          <w:rFonts w:ascii="Helvetica" w:eastAsia="Times New Roman" w:hAnsi="Helvetica" w:cs="Helvetica"/>
          <w:color w:val="222222"/>
          <w:sz w:val="21"/>
          <w:szCs w:val="21"/>
        </w:rPr>
        <w:t xml:space="preserve">. The higher net revenue </w:t>
      </w:r>
      <w:r w:rsidR="00177E2C">
        <w:rPr>
          <w:rFonts w:ascii="Helvetica" w:eastAsia="Times New Roman" w:hAnsi="Helvetica" w:cs="Helvetica"/>
          <w:color w:val="222222"/>
          <w:sz w:val="21"/>
          <w:szCs w:val="21"/>
        </w:rPr>
        <w:t>in</w:t>
      </w:r>
      <w:r w:rsidRPr="00DB5EE5">
        <w:rPr>
          <w:rFonts w:ascii="Helvetica" w:eastAsia="Times New Roman" w:hAnsi="Helvetica" w:cs="Helvetica"/>
          <w:color w:val="222222"/>
          <w:sz w:val="21"/>
          <w:szCs w:val="21"/>
        </w:rPr>
        <w:t xml:space="preserve"> </w:t>
      </w:r>
      <w:r w:rsidR="00D06D44">
        <w:rPr>
          <w:rFonts w:ascii="Helvetica" w:eastAsia="Times New Roman" w:hAnsi="Helvetica" w:cs="Helvetica"/>
          <w:color w:val="222222"/>
          <w:sz w:val="21"/>
          <w:szCs w:val="21"/>
        </w:rPr>
        <w:t>the first quarter</w:t>
      </w:r>
      <w:r w:rsidRPr="00DB5EE5">
        <w:rPr>
          <w:rFonts w:ascii="Helvetica" w:eastAsia="Times New Roman" w:hAnsi="Helvetica" w:cs="Helvetica"/>
          <w:color w:val="222222"/>
          <w:sz w:val="21"/>
          <w:szCs w:val="21"/>
        </w:rPr>
        <w:t xml:space="preserve"> </w:t>
      </w:r>
      <w:r w:rsidR="002367BA">
        <w:rPr>
          <w:rFonts w:ascii="Helvetica" w:eastAsia="Times New Roman" w:hAnsi="Helvetica" w:cs="Helvetica"/>
          <w:color w:val="222222"/>
          <w:sz w:val="21"/>
          <w:szCs w:val="21"/>
        </w:rPr>
        <w:t xml:space="preserve">of 2024 </w:t>
      </w:r>
      <w:r w:rsidRPr="00DB5EE5">
        <w:rPr>
          <w:rFonts w:ascii="Helvetica" w:eastAsia="Times New Roman" w:hAnsi="Helvetica" w:cs="Helvetica"/>
          <w:color w:val="222222"/>
          <w:sz w:val="21"/>
          <w:szCs w:val="21"/>
        </w:rPr>
        <w:t>was due to increased sales of soft tissue repair products</w:t>
      </w:r>
      <w:r w:rsidR="004256AB">
        <w:rPr>
          <w:rFonts w:ascii="Helvetica" w:eastAsia="Times New Roman" w:hAnsi="Helvetica" w:cs="Helvetica"/>
          <w:color w:val="222222"/>
          <w:sz w:val="21"/>
          <w:szCs w:val="21"/>
        </w:rPr>
        <w:t xml:space="preserve"> (</w:t>
      </w:r>
      <w:r w:rsidR="000E72BA" w:rsidRPr="000E72BA">
        <w:rPr>
          <w:rFonts w:ascii="Helvetica" w:eastAsia="Times New Roman" w:hAnsi="Helvetica" w:cs="Helvetica"/>
          <w:color w:val="222222"/>
          <w:sz w:val="21"/>
          <w:szCs w:val="21"/>
        </w:rPr>
        <w:t>CellerateRX</w:t>
      </w:r>
      <w:r w:rsidR="005513A1" w:rsidRPr="00A30EB5">
        <w:rPr>
          <w:rFonts w:ascii="Helvetica" w:hAnsi="Helvetica" w:cs="Helvetica"/>
          <w:sz w:val="21"/>
          <w:szCs w:val="21"/>
          <w:shd w:val="clear" w:color="auto" w:fill="FFFFFF"/>
          <w:vertAlign w:val="superscript"/>
        </w:rPr>
        <w:t>®</w:t>
      </w:r>
      <w:r w:rsidR="005513A1">
        <w:rPr>
          <w:rFonts w:ascii="Helvetica" w:hAnsi="Helvetica" w:cs="Helvetica"/>
          <w:sz w:val="21"/>
          <w:szCs w:val="21"/>
          <w:shd w:val="clear" w:color="auto" w:fill="FFFFFF"/>
        </w:rPr>
        <w:t xml:space="preserve"> </w:t>
      </w:r>
      <w:r w:rsidR="005513A1" w:rsidRPr="00527A6C">
        <w:rPr>
          <w:rFonts w:ascii="Helvetica" w:hAnsi="Helvetica" w:cs="Helvetica"/>
          <w:sz w:val="21"/>
          <w:szCs w:val="21"/>
          <w:shd w:val="clear" w:color="auto" w:fill="FFFFFF"/>
        </w:rPr>
        <w:t>Surgical Activated Collagen</w:t>
      </w:r>
      <w:r w:rsidR="005513A1" w:rsidRPr="00A30EB5">
        <w:rPr>
          <w:rFonts w:ascii="Helvetica" w:hAnsi="Helvetica" w:cs="Helvetica"/>
          <w:sz w:val="21"/>
          <w:szCs w:val="21"/>
          <w:shd w:val="clear" w:color="auto" w:fill="FFFFFF"/>
          <w:vertAlign w:val="superscript"/>
        </w:rPr>
        <w:t>®</w:t>
      </w:r>
      <w:r w:rsidR="000E72BA" w:rsidRPr="000E72BA">
        <w:rPr>
          <w:rFonts w:ascii="Helvetica" w:eastAsia="Times New Roman" w:hAnsi="Helvetica" w:cs="Helvetica"/>
          <w:color w:val="222222"/>
          <w:sz w:val="21"/>
          <w:szCs w:val="21"/>
        </w:rPr>
        <w:t>, FORTIFY TRG</w:t>
      </w:r>
      <w:r w:rsidR="00234E2B" w:rsidRPr="00A30EB5">
        <w:rPr>
          <w:rFonts w:ascii="Helvetica" w:hAnsi="Helvetica" w:cs="Helvetica"/>
          <w:sz w:val="21"/>
          <w:szCs w:val="21"/>
          <w:shd w:val="clear" w:color="auto" w:fill="FFFFFF"/>
          <w:vertAlign w:val="superscript"/>
        </w:rPr>
        <w:t>®</w:t>
      </w:r>
      <w:r w:rsidR="000E72BA" w:rsidRPr="000E72BA">
        <w:rPr>
          <w:rFonts w:ascii="Helvetica" w:eastAsia="Times New Roman" w:hAnsi="Helvetica" w:cs="Helvetica"/>
          <w:color w:val="222222"/>
          <w:sz w:val="21"/>
          <w:szCs w:val="21"/>
        </w:rPr>
        <w:t xml:space="preserve"> Tissue Repair Graft, FORTIFY FLOWABLE</w:t>
      </w:r>
      <w:r w:rsidR="00234E2B" w:rsidRPr="00A30EB5">
        <w:rPr>
          <w:rFonts w:ascii="Helvetica" w:hAnsi="Helvetica" w:cs="Helvetica"/>
          <w:sz w:val="21"/>
          <w:szCs w:val="21"/>
          <w:shd w:val="clear" w:color="auto" w:fill="FFFFFF"/>
          <w:vertAlign w:val="superscript"/>
        </w:rPr>
        <w:t>®</w:t>
      </w:r>
      <w:r w:rsidR="000E72BA" w:rsidRPr="000E72BA">
        <w:rPr>
          <w:rFonts w:ascii="Helvetica" w:eastAsia="Times New Roman" w:hAnsi="Helvetica" w:cs="Helvetica"/>
          <w:color w:val="222222"/>
          <w:sz w:val="21"/>
          <w:szCs w:val="21"/>
        </w:rPr>
        <w:t xml:space="preserve"> </w:t>
      </w:r>
      <w:r w:rsidR="00A34964" w:rsidRPr="00A34964">
        <w:rPr>
          <w:rFonts w:ascii="Helvetica" w:eastAsia="Times New Roman" w:hAnsi="Helvetica" w:cs="Helvetica"/>
          <w:color w:val="222222"/>
          <w:sz w:val="21"/>
          <w:szCs w:val="21"/>
        </w:rPr>
        <w:t>Extracellular Matrix</w:t>
      </w:r>
      <w:r w:rsidR="000E72BA" w:rsidRPr="000E72BA">
        <w:rPr>
          <w:rFonts w:ascii="Helvetica" w:eastAsia="Times New Roman" w:hAnsi="Helvetica" w:cs="Helvetica"/>
          <w:color w:val="222222"/>
          <w:sz w:val="21"/>
          <w:szCs w:val="21"/>
        </w:rPr>
        <w:t>, and TEXAGEN</w:t>
      </w:r>
      <w:r w:rsidR="00234E2B" w:rsidRPr="00A30EB5">
        <w:rPr>
          <w:rFonts w:ascii="Helvetica" w:hAnsi="Helvetica" w:cs="Helvetica"/>
          <w:sz w:val="21"/>
          <w:szCs w:val="21"/>
          <w:shd w:val="clear" w:color="auto" w:fill="FFFFFF"/>
          <w:vertAlign w:val="superscript"/>
        </w:rPr>
        <w:t>®</w:t>
      </w:r>
      <w:r w:rsidR="000E72BA" w:rsidRPr="000E72BA">
        <w:rPr>
          <w:rFonts w:ascii="Helvetica" w:eastAsia="Times New Roman" w:hAnsi="Helvetica" w:cs="Helvetica"/>
          <w:color w:val="222222"/>
          <w:sz w:val="21"/>
          <w:szCs w:val="21"/>
        </w:rPr>
        <w:t xml:space="preserve"> Amniotic Membrane Allograft</w:t>
      </w:r>
      <w:r w:rsidR="000E72BA">
        <w:rPr>
          <w:rFonts w:ascii="Helvetica" w:eastAsia="Times New Roman" w:hAnsi="Helvetica" w:cs="Helvetica"/>
          <w:color w:val="222222"/>
          <w:sz w:val="21"/>
          <w:szCs w:val="21"/>
        </w:rPr>
        <w:t>)</w:t>
      </w:r>
      <w:r w:rsidR="003E636B">
        <w:rPr>
          <w:rFonts w:ascii="Helvetica" w:eastAsia="Times New Roman" w:hAnsi="Helvetica" w:cs="Helvetica"/>
          <w:color w:val="222222"/>
          <w:sz w:val="21"/>
          <w:szCs w:val="21"/>
        </w:rPr>
        <w:t xml:space="preserve"> as</w:t>
      </w:r>
      <w:r w:rsidR="00181360">
        <w:rPr>
          <w:rFonts w:ascii="Helvetica" w:eastAsia="Times New Roman" w:hAnsi="Helvetica" w:cs="Helvetica"/>
          <w:color w:val="222222"/>
          <w:sz w:val="21"/>
          <w:szCs w:val="21"/>
        </w:rPr>
        <w:t xml:space="preserve"> a </w:t>
      </w:r>
      <w:r w:rsidRPr="00DB5EE5">
        <w:rPr>
          <w:rFonts w:ascii="Helvetica" w:eastAsia="Times New Roman" w:hAnsi="Helvetica" w:cs="Helvetica"/>
          <w:color w:val="222222"/>
          <w:sz w:val="21"/>
          <w:szCs w:val="21"/>
        </w:rPr>
        <w:t>result of increased market penetration</w:t>
      </w:r>
      <w:r w:rsidR="002A2242">
        <w:rPr>
          <w:rFonts w:ascii="Helvetica" w:eastAsia="Times New Roman" w:hAnsi="Helvetica" w:cs="Helvetica"/>
          <w:color w:val="222222"/>
          <w:sz w:val="21"/>
          <w:szCs w:val="21"/>
        </w:rPr>
        <w:t xml:space="preserve">, </w:t>
      </w:r>
      <w:r w:rsidRPr="00DB5EE5">
        <w:rPr>
          <w:rFonts w:ascii="Helvetica" w:eastAsia="Times New Roman" w:hAnsi="Helvetica" w:cs="Helvetica"/>
          <w:color w:val="222222"/>
          <w:sz w:val="21"/>
          <w:szCs w:val="21"/>
        </w:rPr>
        <w:t>geographic expansion and</w:t>
      </w:r>
      <w:r w:rsidR="00244C98">
        <w:rPr>
          <w:rFonts w:ascii="Helvetica" w:eastAsia="Times New Roman" w:hAnsi="Helvetica" w:cs="Helvetica"/>
          <w:color w:val="222222"/>
          <w:sz w:val="21"/>
          <w:szCs w:val="21"/>
        </w:rPr>
        <w:t xml:space="preserve"> the Company’s</w:t>
      </w:r>
      <w:r w:rsidRPr="00DB5EE5">
        <w:rPr>
          <w:rFonts w:ascii="Helvetica" w:eastAsia="Times New Roman" w:hAnsi="Helvetica" w:cs="Helvetica"/>
          <w:color w:val="222222"/>
          <w:sz w:val="21"/>
          <w:szCs w:val="21"/>
        </w:rPr>
        <w:t xml:space="preserve"> continuing strategy to expand independent distribution network in both new and existing U.S. markets.</w:t>
      </w:r>
    </w:p>
    <w:p w14:paraId="3DBC60E3" w14:textId="77777777" w:rsidR="00D35708" w:rsidRPr="00BD54AA" w:rsidRDefault="00D35708" w:rsidP="00BD54AA">
      <w:pPr>
        <w:shd w:val="clear" w:color="auto" w:fill="FFFFFF"/>
        <w:spacing w:after="0" w:line="240" w:lineRule="auto"/>
        <w:jc w:val="both"/>
        <w:rPr>
          <w:rFonts w:ascii="Helvetica" w:eastAsia="Times New Roman" w:hAnsi="Helvetica" w:cs="Helvetica"/>
          <w:b/>
          <w:bCs/>
          <w:color w:val="222222"/>
          <w:sz w:val="21"/>
          <w:szCs w:val="21"/>
        </w:rPr>
      </w:pPr>
      <w:r w:rsidRPr="00BD54AA">
        <w:rPr>
          <w:rFonts w:ascii="Helvetica" w:eastAsia="Times New Roman" w:hAnsi="Helvetica" w:cs="Helvetica"/>
          <w:b/>
          <w:bCs/>
          <w:color w:val="222222"/>
          <w:sz w:val="21"/>
          <w:szCs w:val="21"/>
        </w:rPr>
        <w:t>Earnings Analysis</w:t>
      </w:r>
    </w:p>
    <w:p w14:paraId="7EDDB815" w14:textId="77777777" w:rsidR="00D35708" w:rsidRPr="00BD54AA" w:rsidRDefault="00D35708" w:rsidP="00BD54AA">
      <w:pPr>
        <w:shd w:val="clear" w:color="auto" w:fill="FFFFFF"/>
        <w:spacing w:after="0" w:line="240" w:lineRule="auto"/>
        <w:jc w:val="both"/>
        <w:rPr>
          <w:rFonts w:ascii="Helvetica" w:eastAsia="Times New Roman" w:hAnsi="Helvetica" w:cs="Helvetica"/>
          <w:b/>
          <w:bCs/>
          <w:color w:val="222222"/>
          <w:sz w:val="21"/>
          <w:szCs w:val="21"/>
        </w:rPr>
      </w:pPr>
    </w:p>
    <w:p w14:paraId="32C93CC1" w14:textId="424B4B51" w:rsidR="00747658" w:rsidRDefault="00747658" w:rsidP="00BD54AA">
      <w:pPr>
        <w:shd w:val="clear" w:color="auto" w:fill="FFFFFF"/>
        <w:spacing w:after="0" w:line="240" w:lineRule="auto"/>
        <w:jc w:val="both"/>
        <w:rPr>
          <w:rFonts w:ascii="Helvetica" w:eastAsia="Times New Roman" w:hAnsi="Helvetica" w:cs="Helvetica"/>
          <w:sz w:val="21"/>
          <w:szCs w:val="21"/>
        </w:rPr>
      </w:pPr>
      <w:r>
        <w:rPr>
          <w:rFonts w:ascii="Helvetica" w:eastAsia="Times New Roman" w:hAnsi="Helvetica" w:cs="Helvetica"/>
          <w:sz w:val="21"/>
          <w:szCs w:val="21"/>
        </w:rPr>
        <w:t>Sanara</w:t>
      </w:r>
      <w:r w:rsidR="00590548" w:rsidRPr="00590548">
        <w:rPr>
          <w:rFonts w:ascii="Helvetica" w:eastAsia="Times New Roman" w:hAnsi="Helvetica" w:cs="Helvetica"/>
          <w:sz w:val="21"/>
          <w:szCs w:val="21"/>
        </w:rPr>
        <w:t xml:space="preserve"> </w:t>
      </w:r>
      <w:r w:rsidR="00181360">
        <w:rPr>
          <w:rFonts w:ascii="Helvetica" w:eastAsia="Times New Roman" w:hAnsi="Helvetica" w:cs="Helvetica"/>
          <w:sz w:val="21"/>
          <w:szCs w:val="21"/>
        </w:rPr>
        <w:t xml:space="preserve">reported </w:t>
      </w:r>
      <w:r w:rsidR="00590548" w:rsidRPr="00590548">
        <w:rPr>
          <w:rFonts w:ascii="Helvetica" w:eastAsia="Times New Roman" w:hAnsi="Helvetica" w:cs="Helvetica"/>
          <w:sz w:val="21"/>
          <w:szCs w:val="21"/>
        </w:rPr>
        <w:t xml:space="preserve">a </w:t>
      </w:r>
      <w:r w:rsidR="003563F0">
        <w:rPr>
          <w:rFonts w:ascii="Helvetica" w:eastAsia="Times New Roman" w:hAnsi="Helvetica" w:cs="Helvetica"/>
          <w:sz w:val="21"/>
          <w:szCs w:val="21"/>
        </w:rPr>
        <w:t xml:space="preserve">net </w:t>
      </w:r>
      <w:r w:rsidR="00590548" w:rsidRPr="00590548">
        <w:rPr>
          <w:rFonts w:ascii="Helvetica" w:eastAsia="Times New Roman" w:hAnsi="Helvetica" w:cs="Helvetica"/>
          <w:sz w:val="21"/>
          <w:szCs w:val="21"/>
        </w:rPr>
        <w:t>loss of $</w:t>
      </w:r>
      <w:r w:rsidR="00553A5A">
        <w:rPr>
          <w:rFonts w:ascii="Helvetica" w:eastAsia="Times New Roman" w:hAnsi="Helvetica" w:cs="Helvetica"/>
          <w:sz w:val="21"/>
          <w:szCs w:val="21"/>
        </w:rPr>
        <w:t>1</w:t>
      </w:r>
      <w:r w:rsidR="00590548" w:rsidRPr="00590548">
        <w:rPr>
          <w:rFonts w:ascii="Helvetica" w:eastAsia="Times New Roman" w:hAnsi="Helvetica" w:cs="Helvetica"/>
          <w:sz w:val="21"/>
          <w:szCs w:val="21"/>
        </w:rPr>
        <w:t>.</w:t>
      </w:r>
      <w:r w:rsidR="00553A5A">
        <w:rPr>
          <w:rFonts w:ascii="Helvetica" w:eastAsia="Times New Roman" w:hAnsi="Helvetica" w:cs="Helvetica"/>
          <w:sz w:val="21"/>
          <w:szCs w:val="21"/>
        </w:rPr>
        <w:t>8</w:t>
      </w:r>
      <w:r w:rsidR="002A2242" w:rsidRPr="00590548">
        <w:rPr>
          <w:rFonts w:ascii="Helvetica" w:eastAsia="Times New Roman" w:hAnsi="Helvetica" w:cs="Helvetica"/>
          <w:sz w:val="21"/>
          <w:szCs w:val="21"/>
        </w:rPr>
        <w:t xml:space="preserve"> </w:t>
      </w:r>
      <w:r w:rsidR="00590548" w:rsidRPr="00590548">
        <w:rPr>
          <w:rFonts w:ascii="Helvetica" w:eastAsia="Times New Roman" w:hAnsi="Helvetica" w:cs="Helvetica"/>
          <w:sz w:val="21"/>
          <w:szCs w:val="21"/>
        </w:rPr>
        <w:t xml:space="preserve">million for the </w:t>
      </w:r>
      <w:r w:rsidR="00553A5A">
        <w:rPr>
          <w:rFonts w:ascii="Helvetica" w:eastAsia="Times New Roman" w:hAnsi="Helvetica" w:cs="Helvetica"/>
          <w:sz w:val="21"/>
          <w:szCs w:val="21"/>
        </w:rPr>
        <w:t>quarter</w:t>
      </w:r>
      <w:r w:rsidR="00590548" w:rsidRPr="00590548">
        <w:rPr>
          <w:rFonts w:ascii="Helvetica" w:eastAsia="Times New Roman" w:hAnsi="Helvetica" w:cs="Helvetica"/>
          <w:sz w:val="21"/>
          <w:szCs w:val="21"/>
        </w:rPr>
        <w:t xml:space="preserve"> ended </w:t>
      </w:r>
      <w:r w:rsidR="00C656F4">
        <w:rPr>
          <w:rFonts w:ascii="Helvetica" w:eastAsia="Times New Roman" w:hAnsi="Helvetica" w:cs="Helvetica"/>
          <w:sz w:val="21"/>
          <w:szCs w:val="21"/>
        </w:rPr>
        <w:t>March</w:t>
      </w:r>
      <w:r w:rsidR="00590548" w:rsidRPr="00590548">
        <w:rPr>
          <w:rFonts w:ascii="Helvetica" w:eastAsia="Times New Roman" w:hAnsi="Helvetica" w:cs="Helvetica"/>
          <w:sz w:val="21"/>
          <w:szCs w:val="21"/>
        </w:rPr>
        <w:t xml:space="preserve"> 31, 202</w:t>
      </w:r>
      <w:r w:rsidR="00C656F4">
        <w:rPr>
          <w:rFonts w:ascii="Helvetica" w:eastAsia="Times New Roman" w:hAnsi="Helvetica" w:cs="Helvetica"/>
          <w:sz w:val="21"/>
          <w:szCs w:val="21"/>
        </w:rPr>
        <w:t>4</w:t>
      </w:r>
      <w:r w:rsidR="00590548" w:rsidRPr="00590548">
        <w:rPr>
          <w:rFonts w:ascii="Helvetica" w:eastAsia="Times New Roman" w:hAnsi="Helvetica" w:cs="Helvetica"/>
          <w:sz w:val="21"/>
          <w:szCs w:val="21"/>
        </w:rPr>
        <w:t xml:space="preserve">, compared to a </w:t>
      </w:r>
      <w:r w:rsidR="006A39A2">
        <w:rPr>
          <w:rFonts w:ascii="Helvetica" w:eastAsia="Times New Roman" w:hAnsi="Helvetica" w:cs="Helvetica"/>
          <w:sz w:val="21"/>
          <w:szCs w:val="21"/>
        </w:rPr>
        <w:t xml:space="preserve">net </w:t>
      </w:r>
      <w:r w:rsidR="00590548" w:rsidRPr="00590548">
        <w:rPr>
          <w:rFonts w:ascii="Helvetica" w:eastAsia="Times New Roman" w:hAnsi="Helvetica" w:cs="Helvetica"/>
          <w:sz w:val="21"/>
          <w:szCs w:val="21"/>
        </w:rPr>
        <w:t>loss of $</w:t>
      </w:r>
      <w:r w:rsidR="002C73BC">
        <w:rPr>
          <w:rFonts w:ascii="Helvetica" w:eastAsia="Times New Roman" w:hAnsi="Helvetica" w:cs="Helvetica"/>
          <w:sz w:val="21"/>
          <w:szCs w:val="21"/>
        </w:rPr>
        <w:t>1</w:t>
      </w:r>
      <w:r w:rsidR="00590548" w:rsidRPr="00590548">
        <w:rPr>
          <w:rFonts w:ascii="Helvetica" w:eastAsia="Times New Roman" w:hAnsi="Helvetica" w:cs="Helvetica"/>
          <w:sz w:val="21"/>
          <w:szCs w:val="21"/>
        </w:rPr>
        <w:t>.</w:t>
      </w:r>
      <w:r w:rsidR="002C73BC">
        <w:rPr>
          <w:rFonts w:ascii="Helvetica" w:eastAsia="Times New Roman" w:hAnsi="Helvetica" w:cs="Helvetica"/>
          <w:sz w:val="21"/>
          <w:szCs w:val="21"/>
        </w:rPr>
        <w:t>2</w:t>
      </w:r>
      <w:r w:rsidR="00590548" w:rsidRPr="00590548">
        <w:rPr>
          <w:rFonts w:ascii="Helvetica" w:eastAsia="Times New Roman" w:hAnsi="Helvetica" w:cs="Helvetica"/>
          <w:sz w:val="21"/>
          <w:szCs w:val="21"/>
        </w:rPr>
        <w:t xml:space="preserve"> million for the </w:t>
      </w:r>
      <w:r w:rsidR="002C73BC">
        <w:rPr>
          <w:rFonts w:ascii="Helvetica" w:eastAsia="Times New Roman" w:hAnsi="Helvetica" w:cs="Helvetica"/>
          <w:sz w:val="21"/>
          <w:szCs w:val="21"/>
        </w:rPr>
        <w:t>quarter</w:t>
      </w:r>
      <w:r w:rsidR="00590548" w:rsidRPr="00590548">
        <w:rPr>
          <w:rFonts w:ascii="Helvetica" w:eastAsia="Times New Roman" w:hAnsi="Helvetica" w:cs="Helvetica"/>
          <w:sz w:val="21"/>
          <w:szCs w:val="21"/>
        </w:rPr>
        <w:t xml:space="preserve"> ended </w:t>
      </w:r>
      <w:r w:rsidR="002C73BC">
        <w:rPr>
          <w:rFonts w:ascii="Helvetica" w:eastAsia="Times New Roman" w:hAnsi="Helvetica" w:cs="Helvetica"/>
          <w:sz w:val="21"/>
          <w:szCs w:val="21"/>
        </w:rPr>
        <w:t>March</w:t>
      </w:r>
      <w:r w:rsidR="00590548" w:rsidRPr="00590548">
        <w:rPr>
          <w:rFonts w:ascii="Helvetica" w:eastAsia="Times New Roman" w:hAnsi="Helvetica" w:cs="Helvetica"/>
          <w:sz w:val="21"/>
          <w:szCs w:val="21"/>
        </w:rPr>
        <w:t xml:space="preserve"> 31, 202</w:t>
      </w:r>
      <w:r w:rsidR="00C656F4">
        <w:rPr>
          <w:rFonts w:ascii="Helvetica" w:eastAsia="Times New Roman" w:hAnsi="Helvetica" w:cs="Helvetica"/>
          <w:sz w:val="21"/>
          <w:szCs w:val="21"/>
        </w:rPr>
        <w:t>3</w:t>
      </w:r>
      <w:r w:rsidR="00590548" w:rsidRPr="00590548">
        <w:rPr>
          <w:rFonts w:ascii="Helvetica" w:eastAsia="Times New Roman" w:hAnsi="Helvetica" w:cs="Helvetica"/>
          <w:sz w:val="21"/>
          <w:szCs w:val="21"/>
        </w:rPr>
        <w:t xml:space="preserve">. The </w:t>
      </w:r>
      <w:r w:rsidR="004057E9">
        <w:rPr>
          <w:rFonts w:ascii="Helvetica" w:eastAsia="Times New Roman" w:hAnsi="Helvetica" w:cs="Helvetica"/>
          <w:sz w:val="21"/>
          <w:szCs w:val="21"/>
        </w:rPr>
        <w:t>higher</w:t>
      </w:r>
      <w:r w:rsidR="00590548" w:rsidRPr="00590548">
        <w:rPr>
          <w:rFonts w:ascii="Helvetica" w:eastAsia="Times New Roman" w:hAnsi="Helvetica" w:cs="Helvetica"/>
          <w:sz w:val="21"/>
          <w:szCs w:val="21"/>
        </w:rPr>
        <w:t xml:space="preserve"> loss in 202</w:t>
      </w:r>
      <w:r w:rsidR="004057E9">
        <w:rPr>
          <w:rFonts w:ascii="Helvetica" w:eastAsia="Times New Roman" w:hAnsi="Helvetica" w:cs="Helvetica"/>
          <w:sz w:val="21"/>
          <w:szCs w:val="21"/>
        </w:rPr>
        <w:t>4</w:t>
      </w:r>
      <w:r w:rsidR="00590548" w:rsidRPr="00590548">
        <w:rPr>
          <w:rFonts w:ascii="Helvetica" w:eastAsia="Times New Roman" w:hAnsi="Helvetica" w:cs="Helvetica"/>
          <w:sz w:val="21"/>
          <w:szCs w:val="21"/>
        </w:rPr>
        <w:t xml:space="preserve"> was </w:t>
      </w:r>
      <w:r w:rsidR="002A2242">
        <w:rPr>
          <w:rFonts w:ascii="Helvetica" w:eastAsia="Times New Roman" w:hAnsi="Helvetica" w:cs="Helvetica"/>
          <w:sz w:val="21"/>
          <w:szCs w:val="21"/>
        </w:rPr>
        <w:t xml:space="preserve">primarily </w:t>
      </w:r>
      <w:r w:rsidR="000E66BE" w:rsidRPr="000E66BE">
        <w:rPr>
          <w:rFonts w:ascii="Helvetica" w:eastAsia="Times New Roman" w:hAnsi="Helvetica" w:cs="Helvetica"/>
          <w:sz w:val="21"/>
          <w:szCs w:val="21"/>
        </w:rPr>
        <w:t xml:space="preserve">due to </w:t>
      </w:r>
      <w:r w:rsidR="00DE5F27">
        <w:rPr>
          <w:rFonts w:ascii="Helvetica" w:eastAsia="Times New Roman" w:hAnsi="Helvetica" w:cs="Helvetica"/>
          <w:sz w:val="21"/>
          <w:szCs w:val="21"/>
        </w:rPr>
        <w:t>increased</w:t>
      </w:r>
      <w:r w:rsidR="000E66BE" w:rsidRPr="000E66BE">
        <w:rPr>
          <w:rFonts w:ascii="Helvetica" w:eastAsia="Times New Roman" w:hAnsi="Helvetica" w:cs="Helvetica"/>
          <w:sz w:val="21"/>
          <w:szCs w:val="21"/>
        </w:rPr>
        <w:t xml:space="preserve"> SG&amp;A costs </w:t>
      </w:r>
      <w:r w:rsidR="00DE5F27">
        <w:rPr>
          <w:rFonts w:ascii="Helvetica" w:eastAsia="Times New Roman" w:hAnsi="Helvetica" w:cs="Helvetica"/>
          <w:sz w:val="21"/>
          <w:szCs w:val="21"/>
        </w:rPr>
        <w:t xml:space="preserve">related to direct sales and marketing expenses </w:t>
      </w:r>
      <w:r w:rsidR="000E66BE" w:rsidRPr="000E66BE">
        <w:rPr>
          <w:rFonts w:ascii="Helvetica" w:eastAsia="Times New Roman" w:hAnsi="Helvetica" w:cs="Helvetica"/>
          <w:sz w:val="21"/>
          <w:szCs w:val="21"/>
        </w:rPr>
        <w:t>and</w:t>
      </w:r>
      <w:r w:rsidR="00DE5F27">
        <w:rPr>
          <w:rFonts w:ascii="Helvetica" w:eastAsia="Times New Roman" w:hAnsi="Helvetica" w:cs="Helvetica"/>
          <w:sz w:val="21"/>
          <w:szCs w:val="21"/>
        </w:rPr>
        <w:t xml:space="preserve"> amortization expenses due to</w:t>
      </w:r>
      <w:r w:rsidR="000E66BE" w:rsidRPr="000E66BE">
        <w:rPr>
          <w:rFonts w:ascii="Helvetica" w:eastAsia="Times New Roman" w:hAnsi="Helvetica" w:cs="Helvetica"/>
          <w:sz w:val="21"/>
          <w:szCs w:val="21"/>
        </w:rPr>
        <w:t xml:space="preserve"> amortization of our acquired intangible assets</w:t>
      </w:r>
      <w:r w:rsidR="009915D0">
        <w:rPr>
          <w:rFonts w:ascii="Helvetica" w:eastAsia="Times New Roman" w:hAnsi="Helvetica" w:cs="Helvetica"/>
          <w:sz w:val="21"/>
          <w:szCs w:val="21"/>
        </w:rPr>
        <w:t xml:space="preserve"> related to </w:t>
      </w:r>
      <w:r w:rsidR="000C2283">
        <w:rPr>
          <w:rFonts w:ascii="Helvetica" w:eastAsia="Times New Roman" w:hAnsi="Helvetica" w:cs="Helvetica"/>
          <w:sz w:val="21"/>
          <w:szCs w:val="21"/>
        </w:rPr>
        <w:t xml:space="preserve">our Applied </w:t>
      </w:r>
      <w:r w:rsidR="001F6029">
        <w:rPr>
          <w:rFonts w:ascii="Helvetica" w:eastAsia="Times New Roman" w:hAnsi="Helvetica" w:cs="Helvetica"/>
          <w:sz w:val="21"/>
          <w:szCs w:val="21"/>
        </w:rPr>
        <w:t>Nutritional</w:t>
      </w:r>
      <w:r w:rsidR="005513A1">
        <w:rPr>
          <w:rFonts w:ascii="Helvetica" w:eastAsia="Times New Roman" w:hAnsi="Helvetica" w:cs="Helvetica"/>
          <w:sz w:val="21"/>
          <w:szCs w:val="21"/>
        </w:rPr>
        <w:t>s</w:t>
      </w:r>
      <w:r w:rsidR="001F6029">
        <w:rPr>
          <w:rFonts w:ascii="Helvetica" w:eastAsia="Times New Roman" w:hAnsi="Helvetica" w:cs="Helvetica"/>
          <w:sz w:val="21"/>
          <w:szCs w:val="21"/>
        </w:rPr>
        <w:t xml:space="preserve"> asset </w:t>
      </w:r>
      <w:r w:rsidR="005513A1">
        <w:rPr>
          <w:rFonts w:ascii="Helvetica" w:eastAsia="Times New Roman" w:hAnsi="Helvetica" w:cs="Helvetica"/>
          <w:sz w:val="21"/>
          <w:szCs w:val="21"/>
        </w:rPr>
        <w:t>acquisition</w:t>
      </w:r>
      <w:r w:rsidR="001F6029">
        <w:rPr>
          <w:rFonts w:ascii="Helvetica" w:eastAsia="Times New Roman" w:hAnsi="Helvetica" w:cs="Helvetica"/>
          <w:sz w:val="21"/>
          <w:szCs w:val="21"/>
        </w:rPr>
        <w:t xml:space="preserve">. </w:t>
      </w:r>
      <w:r w:rsidR="001E0CC2">
        <w:rPr>
          <w:rFonts w:ascii="Helvetica" w:eastAsia="Times New Roman" w:hAnsi="Helvetica" w:cs="Helvetica"/>
          <w:sz w:val="21"/>
          <w:szCs w:val="21"/>
        </w:rPr>
        <w:t xml:space="preserve">These </w:t>
      </w:r>
      <w:r w:rsidR="00DE5F27">
        <w:rPr>
          <w:rFonts w:ascii="Helvetica" w:eastAsia="Times New Roman" w:hAnsi="Helvetica" w:cs="Helvetica"/>
          <w:sz w:val="21"/>
          <w:szCs w:val="21"/>
        </w:rPr>
        <w:t xml:space="preserve">increased </w:t>
      </w:r>
      <w:r w:rsidR="001E0CC2">
        <w:rPr>
          <w:rFonts w:ascii="Helvetica" w:eastAsia="Times New Roman" w:hAnsi="Helvetica" w:cs="Helvetica"/>
          <w:sz w:val="21"/>
          <w:szCs w:val="21"/>
        </w:rPr>
        <w:t>costs were</w:t>
      </w:r>
      <w:r w:rsidR="000E66BE" w:rsidRPr="000E66BE">
        <w:rPr>
          <w:rFonts w:ascii="Helvetica" w:eastAsia="Times New Roman" w:hAnsi="Helvetica" w:cs="Helvetica"/>
          <w:sz w:val="21"/>
          <w:szCs w:val="21"/>
        </w:rPr>
        <w:t xml:space="preserve"> </w:t>
      </w:r>
      <w:r w:rsidR="005513A1">
        <w:rPr>
          <w:rFonts w:ascii="Helvetica" w:eastAsia="Times New Roman" w:hAnsi="Helvetica" w:cs="Helvetica"/>
          <w:sz w:val="21"/>
          <w:szCs w:val="21"/>
        </w:rPr>
        <w:t xml:space="preserve">partially </w:t>
      </w:r>
      <w:r w:rsidR="000E66BE" w:rsidRPr="000E66BE">
        <w:rPr>
          <w:rFonts w:ascii="Helvetica" w:eastAsia="Times New Roman" w:hAnsi="Helvetica" w:cs="Helvetica"/>
          <w:sz w:val="21"/>
          <w:szCs w:val="21"/>
        </w:rPr>
        <w:t>offset</w:t>
      </w:r>
      <w:r w:rsidR="001E0CC2">
        <w:rPr>
          <w:rFonts w:ascii="Helvetica" w:eastAsia="Times New Roman" w:hAnsi="Helvetica" w:cs="Helvetica"/>
          <w:sz w:val="21"/>
          <w:szCs w:val="21"/>
        </w:rPr>
        <w:t xml:space="preserve"> </w:t>
      </w:r>
      <w:r w:rsidR="000E66BE" w:rsidRPr="000E66BE">
        <w:rPr>
          <w:rFonts w:ascii="Helvetica" w:eastAsia="Times New Roman" w:hAnsi="Helvetica" w:cs="Helvetica"/>
          <w:sz w:val="21"/>
          <w:szCs w:val="21"/>
        </w:rPr>
        <w:t>by higher gross profit and lower R&amp;D expenses</w:t>
      </w:r>
      <w:r w:rsidR="00590548" w:rsidRPr="00590548">
        <w:rPr>
          <w:rFonts w:ascii="Helvetica" w:eastAsia="Times New Roman" w:hAnsi="Helvetica" w:cs="Helvetica"/>
          <w:sz w:val="21"/>
          <w:szCs w:val="21"/>
        </w:rPr>
        <w:t>.</w:t>
      </w:r>
      <w:r w:rsidR="00590548">
        <w:rPr>
          <w:rFonts w:ascii="Helvetica" w:eastAsia="Times New Roman" w:hAnsi="Helvetica" w:cs="Helvetica"/>
          <w:sz w:val="21"/>
          <w:szCs w:val="21"/>
        </w:rPr>
        <w:t xml:space="preserve"> </w:t>
      </w:r>
      <w:r w:rsidR="00434521" w:rsidRPr="00434521">
        <w:rPr>
          <w:rFonts w:ascii="Helvetica" w:eastAsia="Times New Roman" w:hAnsi="Helvetica" w:cs="Helvetica"/>
          <w:sz w:val="21"/>
          <w:szCs w:val="21"/>
        </w:rPr>
        <w:t>The Company generated Adjusted EBITDA of $</w:t>
      </w:r>
      <w:r w:rsidR="00323BAF">
        <w:rPr>
          <w:rFonts w:ascii="Helvetica" w:eastAsia="Times New Roman" w:hAnsi="Helvetica" w:cs="Helvetica"/>
          <w:sz w:val="21"/>
          <w:szCs w:val="21"/>
        </w:rPr>
        <w:t>0.3</w:t>
      </w:r>
      <w:r w:rsidR="00434521" w:rsidRPr="00434521">
        <w:rPr>
          <w:rFonts w:ascii="Helvetica" w:eastAsia="Times New Roman" w:hAnsi="Helvetica" w:cs="Helvetica"/>
          <w:sz w:val="21"/>
          <w:szCs w:val="21"/>
        </w:rPr>
        <w:t xml:space="preserve"> million for the </w:t>
      </w:r>
      <w:r w:rsidR="000A3523">
        <w:rPr>
          <w:rFonts w:ascii="Helvetica" w:eastAsia="Times New Roman" w:hAnsi="Helvetica" w:cs="Helvetica"/>
          <w:sz w:val="21"/>
          <w:szCs w:val="21"/>
        </w:rPr>
        <w:t>quarter</w:t>
      </w:r>
      <w:r w:rsidR="00C92B3E" w:rsidRPr="00590548">
        <w:rPr>
          <w:rFonts w:ascii="Helvetica" w:eastAsia="Times New Roman" w:hAnsi="Helvetica" w:cs="Helvetica"/>
          <w:sz w:val="21"/>
          <w:szCs w:val="21"/>
        </w:rPr>
        <w:t xml:space="preserve"> ended </w:t>
      </w:r>
      <w:r w:rsidR="001E3001">
        <w:rPr>
          <w:rFonts w:ascii="Helvetica" w:eastAsia="Times New Roman" w:hAnsi="Helvetica" w:cs="Helvetica"/>
          <w:sz w:val="21"/>
          <w:szCs w:val="21"/>
        </w:rPr>
        <w:t>March</w:t>
      </w:r>
      <w:r w:rsidR="00C92B3E" w:rsidRPr="00590548">
        <w:rPr>
          <w:rFonts w:ascii="Helvetica" w:eastAsia="Times New Roman" w:hAnsi="Helvetica" w:cs="Helvetica"/>
          <w:sz w:val="21"/>
          <w:szCs w:val="21"/>
        </w:rPr>
        <w:t xml:space="preserve"> 31, 202</w:t>
      </w:r>
      <w:r w:rsidR="001E3001">
        <w:rPr>
          <w:rFonts w:ascii="Helvetica" w:eastAsia="Times New Roman" w:hAnsi="Helvetica" w:cs="Helvetica"/>
          <w:sz w:val="21"/>
          <w:szCs w:val="21"/>
        </w:rPr>
        <w:t>4</w:t>
      </w:r>
      <w:r w:rsidR="00323BAF">
        <w:rPr>
          <w:rFonts w:ascii="Helvetica" w:eastAsia="Times New Roman" w:hAnsi="Helvetica" w:cs="Helvetica"/>
          <w:sz w:val="21"/>
          <w:szCs w:val="21"/>
        </w:rPr>
        <w:t>,</w:t>
      </w:r>
      <w:r w:rsidR="00434521" w:rsidRPr="00434521">
        <w:rPr>
          <w:rFonts w:ascii="Helvetica" w:eastAsia="Times New Roman" w:hAnsi="Helvetica" w:cs="Helvetica"/>
          <w:sz w:val="21"/>
          <w:szCs w:val="21"/>
        </w:rPr>
        <w:t xml:space="preserve"> compared to </w:t>
      </w:r>
      <w:r w:rsidR="009A5F76">
        <w:rPr>
          <w:rFonts w:ascii="Helvetica" w:eastAsia="Times New Roman" w:hAnsi="Helvetica" w:cs="Helvetica"/>
          <w:sz w:val="21"/>
          <w:szCs w:val="21"/>
        </w:rPr>
        <w:t xml:space="preserve">negative </w:t>
      </w:r>
      <w:r w:rsidR="00434521" w:rsidRPr="00434521">
        <w:rPr>
          <w:rFonts w:ascii="Helvetica" w:eastAsia="Times New Roman" w:hAnsi="Helvetica" w:cs="Helvetica"/>
          <w:sz w:val="21"/>
          <w:szCs w:val="21"/>
        </w:rPr>
        <w:t>Adjusted EBITDA of $</w:t>
      </w:r>
      <w:r w:rsidR="00880DAB">
        <w:rPr>
          <w:rFonts w:ascii="Helvetica" w:eastAsia="Times New Roman" w:hAnsi="Helvetica" w:cs="Helvetica"/>
          <w:sz w:val="21"/>
          <w:szCs w:val="21"/>
        </w:rPr>
        <w:t>0</w:t>
      </w:r>
      <w:r w:rsidR="00EC5B74">
        <w:rPr>
          <w:rFonts w:ascii="Helvetica" w:eastAsia="Times New Roman" w:hAnsi="Helvetica" w:cs="Helvetica"/>
          <w:sz w:val="21"/>
          <w:szCs w:val="21"/>
        </w:rPr>
        <w:t>.</w:t>
      </w:r>
      <w:r w:rsidR="00880DAB">
        <w:rPr>
          <w:rFonts w:ascii="Helvetica" w:eastAsia="Times New Roman" w:hAnsi="Helvetica" w:cs="Helvetica"/>
          <w:sz w:val="21"/>
          <w:szCs w:val="21"/>
        </w:rPr>
        <w:t>3</w:t>
      </w:r>
      <w:r w:rsidR="00434521" w:rsidRPr="00434521">
        <w:rPr>
          <w:rFonts w:ascii="Helvetica" w:eastAsia="Times New Roman" w:hAnsi="Helvetica" w:cs="Helvetica"/>
          <w:sz w:val="21"/>
          <w:szCs w:val="21"/>
        </w:rPr>
        <w:t xml:space="preserve"> million for </w:t>
      </w:r>
      <w:r w:rsidR="00C92B3E" w:rsidRPr="00590548">
        <w:rPr>
          <w:rFonts w:ascii="Helvetica" w:eastAsia="Times New Roman" w:hAnsi="Helvetica" w:cs="Helvetica"/>
          <w:sz w:val="21"/>
          <w:szCs w:val="21"/>
        </w:rPr>
        <w:t xml:space="preserve">the </w:t>
      </w:r>
      <w:r w:rsidR="00880DAB">
        <w:rPr>
          <w:rFonts w:ascii="Helvetica" w:eastAsia="Times New Roman" w:hAnsi="Helvetica" w:cs="Helvetica"/>
          <w:sz w:val="21"/>
          <w:szCs w:val="21"/>
        </w:rPr>
        <w:t>quarter</w:t>
      </w:r>
      <w:r w:rsidR="00C92B3E" w:rsidRPr="00590548">
        <w:rPr>
          <w:rFonts w:ascii="Helvetica" w:eastAsia="Times New Roman" w:hAnsi="Helvetica" w:cs="Helvetica"/>
          <w:sz w:val="21"/>
          <w:szCs w:val="21"/>
        </w:rPr>
        <w:t xml:space="preserve"> ended </w:t>
      </w:r>
      <w:r w:rsidR="00880DAB">
        <w:rPr>
          <w:rFonts w:ascii="Helvetica" w:eastAsia="Times New Roman" w:hAnsi="Helvetica" w:cs="Helvetica"/>
          <w:sz w:val="21"/>
          <w:szCs w:val="21"/>
        </w:rPr>
        <w:t>March</w:t>
      </w:r>
      <w:r w:rsidR="00C92B3E" w:rsidRPr="00590548">
        <w:rPr>
          <w:rFonts w:ascii="Helvetica" w:eastAsia="Times New Roman" w:hAnsi="Helvetica" w:cs="Helvetica"/>
          <w:sz w:val="21"/>
          <w:szCs w:val="21"/>
        </w:rPr>
        <w:t xml:space="preserve"> 31, 202</w:t>
      </w:r>
      <w:r w:rsidR="00880DAB">
        <w:rPr>
          <w:rFonts w:ascii="Helvetica" w:eastAsia="Times New Roman" w:hAnsi="Helvetica" w:cs="Helvetica"/>
          <w:sz w:val="21"/>
          <w:szCs w:val="21"/>
        </w:rPr>
        <w:t>3</w:t>
      </w:r>
      <w:r w:rsidR="00516D39">
        <w:rPr>
          <w:rFonts w:ascii="Helvetica" w:eastAsia="Times New Roman" w:hAnsi="Helvetica" w:cs="Helvetica"/>
          <w:sz w:val="21"/>
          <w:szCs w:val="21"/>
        </w:rPr>
        <w:t>.</w:t>
      </w:r>
    </w:p>
    <w:p w14:paraId="486FAF52" w14:textId="77777777" w:rsidR="00747658" w:rsidRDefault="00747658" w:rsidP="00BD54AA">
      <w:pPr>
        <w:shd w:val="clear" w:color="auto" w:fill="FFFFFF"/>
        <w:spacing w:after="0" w:line="240" w:lineRule="auto"/>
        <w:jc w:val="both"/>
        <w:rPr>
          <w:rFonts w:ascii="Helvetica" w:eastAsia="Times New Roman" w:hAnsi="Helvetica" w:cs="Helvetica"/>
          <w:sz w:val="21"/>
          <w:szCs w:val="21"/>
        </w:rPr>
      </w:pPr>
    </w:p>
    <w:p w14:paraId="7DBDC229" w14:textId="77777777" w:rsidR="00D35708" w:rsidRPr="00326372" w:rsidRDefault="00D35708" w:rsidP="00BD54AA">
      <w:pPr>
        <w:shd w:val="clear" w:color="auto" w:fill="FFFFFF"/>
        <w:spacing w:after="0" w:line="240" w:lineRule="auto"/>
        <w:jc w:val="both"/>
        <w:rPr>
          <w:rFonts w:ascii="Helvetica" w:hAnsi="Helvetica" w:cs="Helvetica"/>
          <w:sz w:val="21"/>
          <w:szCs w:val="21"/>
          <w:shd w:val="clear" w:color="auto" w:fill="FFFFFF"/>
        </w:rPr>
      </w:pPr>
      <w:r w:rsidRPr="00326372">
        <w:rPr>
          <w:rFonts w:ascii="Helvetica" w:hAnsi="Helvetica" w:cs="Helvetica"/>
          <w:sz w:val="21"/>
          <w:szCs w:val="21"/>
          <w:shd w:val="clear" w:color="auto" w:fill="FFFFFF"/>
        </w:rPr>
        <w:t>* Adjusted EBITDA is a non-GAAP financial measure. See the discussion below under the heading “Use of Non-GAAP Financial Measures" and the reconciliations at the end of this release for additional information.</w:t>
      </w:r>
    </w:p>
    <w:p w14:paraId="73CEA4A4" w14:textId="77777777" w:rsidR="00D35708" w:rsidRPr="00BD54AA" w:rsidRDefault="00D35708" w:rsidP="00BD54AA">
      <w:pPr>
        <w:shd w:val="clear" w:color="auto" w:fill="FFFFFF"/>
        <w:spacing w:after="0" w:line="240" w:lineRule="auto"/>
        <w:jc w:val="both"/>
        <w:rPr>
          <w:rFonts w:ascii="Helvetica" w:hAnsi="Helvetica" w:cs="Helvetica"/>
          <w:sz w:val="21"/>
          <w:szCs w:val="21"/>
          <w:shd w:val="clear" w:color="auto" w:fill="FFFFFF"/>
        </w:rPr>
      </w:pPr>
    </w:p>
    <w:p w14:paraId="598F0A42" w14:textId="77777777" w:rsidR="00D35708" w:rsidRPr="00BD54AA" w:rsidRDefault="00D35708" w:rsidP="00BD54AA">
      <w:pPr>
        <w:shd w:val="clear" w:color="auto" w:fill="FFFFFF"/>
        <w:spacing w:after="0" w:line="240" w:lineRule="auto"/>
        <w:jc w:val="both"/>
        <w:rPr>
          <w:rFonts w:ascii="Helvetica" w:hAnsi="Helvetica" w:cs="Helvetica"/>
          <w:b/>
          <w:bCs/>
          <w:sz w:val="21"/>
          <w:szCs w:val="21"/>
          <w:shd w:val="clear" w:color="auto" w:fill="FFFFFF"/>
        </w:rPr>
      </w:pPr>
      <w:bookmarkStart w:id="0" w:name="_Hlk150606209"/>
      <w:bookmarkStart w:id="1" w:name="_Hlk166320060"/>
      <w:bookmarkStart w:id="2" w:name="_Hlk161935418"/>
      <w:r w:rsidRPr="00BD54AA">
        <w:rPr>
          <w:rFonts w:ascii="Helvetica" w:hAnsi="Helvetica" w:cs="Helvetica"/>
          <w:b/>
          <w:bCs/>
          <w:sz w:val="21"/>
          <w:szCs w:val="21"/>
          <w:shd w:val="clear" w:color="auto" w:fill="FFFFFF"/>
        </w:rPr>
        <w:t>Use of Non-GAAP Financial Measures</w:t>
      </w:r>
    </w:p>
    <w:p w14:paraId="5F89685B" w14:textId="77777777" w:rsidR="00D35708" w:rsidRPr="00BD54AA" w:rsidRDefault="00D35708" w:rsidP="00BD54AA">
      <w:pPr>
        <w:shd w:val="clear" w:color="auto" w:fill="FFFFFF"/>
        <w:spacing w:after="0" w:line="240" w:lineRule="auto"/>
        <w:jc w:val="both"/>
        <w:rPr>
          <w:rFonts w:ascii="Helvetica" w:hAnsi="Helvetica" w:cs="Helvetica"/>
          <w:sz w:val="21"/>
          <w:szCs w:val="21"/>
          <w:shd w:val="clear" w:color="auto" w:fill="FFFFFF"/>
        </w:rPr>
      </w:pPr>
    </w:p>
    <w:p w14:paraId="71B83C81" w14:textId="0CB99AFD" w:rsidR="00D35708" w:rsidRDefault="00D35708" w:rsidP="00BD54AA">
      <w:pPr>
        <w:shd w:val="clear" w:color="auto" w:fill="FFFFFF"/>
        <w:spacing w:after="0" w:line="240" w:lineRule="auto"/>
        <w:jc w:val="both"/>
        <w:rPr>
          <w:rFonts w:ascii="Helvetica" w:hAnsi="Helvetica" w:cs="Helvetica"/>
          <w:sz w:val="21"/>
          <w:szCs w:val="21"/>
          <w:shd w:val="clear" w:color="auto" w:fill="FFFFFF"/>
        </w:rPr>
      </w:pPr>
      <w:r w:rsidRPr="00BD54AA">
        <w:rPr>
          <w:rFonts w:ascii="Helvetica" w:hAnsi="Helvetica" w:cs="Helvetica"/>
          <w:sz w:val="21"/>
          <w:szCs w:val="21"/>
          <w:shd w:val="clear" w:color="auto" w:fill="FFFFFF"/>
        </w:rPr>
        <w:t>To supplement the Company’s financial information presented in accordance with generally accepted accounting principles in the United States (“GAAP”), we present certain non-GAAP financial measures in this press release and on the related teleconference call, including Adjusted EBITDA. The Company’s management uses these non-GAAP financial measures, both internally and externally, to assess and communicate the financial performance of the Company.</w:t>
      </w:r>
      <w:r w:rsidR="00A30EB5">
        <w:rPr>
          <w:rFonts w:ascii="Helvetica" w:hAnsi="Helvetica" w:cs="Helvetica"/>
          <w:sz w:val="21"/>
          <w:szCs w:val="21"/>
          <w:shd w:val="clear" w:color="auto" w:fill="FFFFFF"/>
        </w:rPr>
        <w:t xml:space="preserve"> </w:t>
      </w:r>
      <w:r w:rsidRPr="00BD54AA">
        <w:rPr>
          <w:rFonts w:ascii="Helvetica" w:hAnsi="Helvetica" w:cs="Helvetica"/>
          <w:sz w:val="21"/>
          <w:szCs w:val="21"/>
          <w:shd w:val="clear" w:color="auto" w:fill="FFFFFF"/>
        </w:rPr>
        <w:t xml:space="preserve">The Company defines Adjusted EBITDA as net loss excluding interest expense/income, provision/benefit for income taxes, depreciation and amortization, non-cash stock compensation expense, change in fair value of earnout liabilities, </w:t>
      </w:r>
      <w:r w:rsidR="009A5F76">
        <w:rPr>
          <w:rFonts w:ascii="Helvetica" w:hAnsi="Helvetica" w:cs="Helvetica"/>
          <w:sz w:val="21"/>
          <w:szCs w:val="21"/>
          <w:shd w:val="clear" w:color="auto" w:fill="FFFFFF"/>
        </w:rPr>
        <w:t xml:space="preserve">effects of noncontrolling interests, </w:t>
      </w:r>
      <w:r w:rsidRPr="00BD54AA">
        <w:rPr>
          <w:rFonts w:ascii="Helvetica" w:hAnsi="Helvetica" w:cs="Helvetica"/>
          <w:sz w:val="21"/>
          <w:szCs w:val="21"/>
          <w:shd w:val="clear" w:color="auto" w:fill="FFFFFF"/>
        </w:rPr>
        <w:t xml:space="preserve">and gains/losses </w:t>
      </w:r>
      <w:r w:rsidR="009A5F76">
        <w:rPr>
          <w:rFonts w:ascii="Helvetica" w:hAnsi="Helvetica" w:cs="Helvetica"/>
          <w:sz w:val="21"/>
          <w:szCs w:val="21"/>
          <w:shd w:val="clear" w:color="auto" w:fill="FFFFFF"/>
        </w:rPr>
        <w:t>on</w:t>
      </w:r>
      <w:r w:rsidR="009A5F76" w:rsidRPr="00BD54AA">
        <w:rPr>
          <w:rFonts w:ascii="Helvetica" w:hAnsi="Helvetica" w:cs="Helvetica"/>
          <w:sz w:val="21"/>
          <w:szCs w:val="21"/>
          <w:shd w:val="clear" w:color="auto" w:fill="FFFFFF"/>
        </w:rPr>
        <w:t xml:space="preserve"> </w:t>
      </w:r>
      <w:r w:rsidRPr="00BD54AA">
        <w:rPr>
          <w:rFonts w:ascii="Helvetica" w:hAnsi="Helvetica" w:cs="Helvetica"/>
          <w:sz w:val="21"/>
          <w:szCs w:val="21"/>
          <w:shd w:val="clear" w:color="auto" w:fill="FFFFFF"/>
        </w:rPr>
        <w:t xml:space="preserve">the disposal of </w:t>
      </w:r>
      <w:r w:rsidR="0093748B">
        <w:rPr>
          <w:rFonts w:ascii="Helvetica" w:hAnsi="Helvetica" w:cs="Helvetica"/>
          <w:sz w:val="21"/>
          <w:szCs w:val="21"/>
          <w:shd w:val="clear" w:color="auto" w:fill="FFFFFF"/>
        </w:rPr>
        <w:t>property and equipment</w:t>
      </w:r>
      <w:r w:rsidRPr="00BD54AA">
        <w:rPr>
          <w:rFonts w:ascii="Helvetica" w:hAnsi="Helvetica" w:cs="Helvetica"/>
          <w:sz w:val="21"/>
          <w:szCs w:val="21"/>
          <w:shd w:val="clear" w:color="auto" w:fill="FFFFFF"/>
        </w:rPr>
        <w:t xml:space="preserve">. The Company’s believes Adjusted EBITDA is useful to investors because it facilitates comparisons of its core business operations across periods on a consistent basis. Accordingly, the Company adjusts for </w:t>
      </w:r>
      <w:r w:rsidR="002367BA">
        <w:rPr>
          <w:rFonts w:ascii="Helvetica" w:hAnsi="Helvetica" w:cs="Helvetica"/>
          <w:sz w:val="21"/>
          <w:szCs w:val="21"/>
          <w:shd w:val="clear" w:color="auto" w:fill="FFFFFF"/>
        </w:rPr>
        <w:t xml:space="preserve">certain </w:t>
      </w:r>
      <w:r w:rsidRPr="00BD54AA">
        <w:rPr>
          <w:rFonts w:ascii="Helvetica" w:hAnsi="Helvetica" w:cs="Helvetica"/>
          <w:sz w:val="21"/>
          <w:szCs w:val="21"/>
          <w:shd w:val="clear" w:color="auto" w:fill="FFFFFF"/>
        </w:rPr>
        <w:t>items</w:t>
      </w:r>
      <w:r w:rsidR="002367BA">
        <w:rPr>
          <w:rFonts w:ascii="Helvetica" w:hAnsi="Helvetica" w:cs="Helvetica"/>
          <w:sz w:val="21"/>
          <w:szCs w:val="21"/>
          <w:shd w:val="clear" w:color="auto" w:fill="FFFFFF"/>
        </w:rPr>
        <w:t>,</w:t>
      </w:r>
      <w:r w:rsidRPr="00BD54AA">
        <w:rPr>
          <w:rFonts w:ascii="Helvetica" w:hAnsi="Helvetica" w:cs="Helvetica"/>
          <w:sz w:val="21"/>
          <w:szCs w:val="21"/>
          <w:shd w:val="clear" w:color="auto" w:fill="FFFFFF"/>
        </w:rPr>
        <w:t xml:space="preserve"> such as change in fair value of earnout liabilities</w:t>
      </w:r>
      <w:r w:rsidR="002367BA">
        <w:rPr>
          <w:rFonts w:ascii="Helvetica" w:hAnsi="Helvetica" w:cs="Helvetica"/>
          <w:sz w:val="21"/>
          <w:szCs w:val="21"/>
          <w:shd w:val="clear" w:color="auto" w:fill="FFFFFF"/>
        </w:rPr>
        <w:t>,</w:t>
      </w:r>
      <w:r w:rsidRPr="00BD54AA">
        <w:rPr>
          <w:rFonts w:ascii="Helvetica" w:hAnsi="Helvetica" w:cs="Helvetica"/>
          <w:sz w:val="21"/>
          <w:szCs w:val="21"/>
          <w:shd w:val="clear" w:color="auto" w:fill="FFFFFF"/>
        </w:rPr>
        <w:t xml:space="preserve"> when calculating Adjusted EBITDA because the Company believes that </w:t>
      </w:r>
      <w:r w:rsidR="002367BA">
        <w:rPr>
          <w:rFonts w:ascii="Helvetica" w:hAnsi="Helvetica" w:cs="Helvetica"/>
          <w:sz w:val="21"/>
          <w:szCs w:val="21"/>
          <w:shd w:val="clear" w:color="auto" w:fill="FFFFFF"/>
        </w:rPr>
        <w:t>such items are</w:t>
      </w:r>
      <w:r w:rsidRPr="00BD54AA">
        <w:rPr>
          <w:rFonts w:ascii="Helvetica" w:hAnsi="Helvetica" w:cs="Helvetica"/>
          <w:sz w:val="21"/>
          <w:szCs w:val="21"/>
          <w:shd w:val="clear" w:color="auto" w:fill="FFFFFF"/>
        </w:rPr>
        <w:t xml:space="preserve"> not related to the Company’s core business operations.</w:t>
      </w:r>
      <w:bookmarkEnd w:id="0"/>
    </w:p>
    <w:p w14:paraId="11642AEA" w14:textId="77777777" w:rsidR="00BD54AA" w:rsidRPr="00BD54AA" w:rsidRDefault="00BD54AA" w:rsidP="00BD54AA">
      <w:pPr>
        <w:shd w:val="clear" w:color="auto" w:fill="FFFFFF"/>
        <w:spacing w:after="0" w:line="240" w:lineRule="auto"/>
        <w:jc w:val="both"/>
        <w:rPr>
          <w:rFonts w:ascii="Helvetica" w:hAnsi="Helvetica" w:cs="Helvetica"/>
          <w:sz w:val="21"/>
          <w:szCs w:val="21"/>
          <w:shd w:val="clear" w:color="auto" w:fill="FFFFFF"/>
        </w:rPr>
      </w:pPr>
    </w:p>
    <w:p w14:paraId="43F619CC" w14:textId="03C0EED2" w:rsidR="00D35708" w:rsidRPr="00BD54AA" w:rsidRDefault="00D35708" w:rsidP="00BD54AA">
      <w:pPr>
        <w:shd w:val="clear" w:color="auto" w:fill="FFFFFF"/>
        <w:spacing w:after="0" w:line="240" w:lineRule="auto"/>
        <w:jc w:val="both"/>
        <w:rPr>
          <w:rFonts w:ascii="Helvetica" w:hAnsi="Helvetica" w:cs="Helvetica"/>
          <w:sz w:val="21"/>
          <w:szCs w:val="21"/>
          <w:shd w:val="clear" w:color="auto" w:fill="FFFFFF"/>
        </w:rPr>
      </w:pPr>
      <w:r w:rsidRPr="00BD54AA">
        <w:rPr>
          <w:rFonts w:ascii="Helvetica" w:hAnsi="Helvetica" w:cs="Helvetica"/>
          <w:sz w:val="21"/>
          <w:szCs w:val="21"/>
          <w:shd w:val="clear" w:color="auto" w:fill="FFFFFF"/>
        </w:rPr>
        <w:t xml:space="preserve">The Company’s non-GAAP financial measures are not in accordance with, nor an alternative for, measures conforming to GAAP and may be different from non-GAAP financial measures used by other companies. In addition, these non-GAAP financial measures are not based on any comprehensive set of accounting rules or principles. The Company continues to provide all information required by GAAP, but it believes that evaluating its ongoing operating results may not be as useful if an investor or other user is limited to reviewing only GAAP financial measures. The Company does not, nor does it suggest </w:t>
      </w:r>
      <w:r w:rsidRPr="00BD54AA">
        <w:rPr>
          <w:rFonts w:ascii="Helvetica" w:hAnsi="Helvetica" w:cs="Helvetica"/>
          <w:sz w:val="21"/>
          <w:szCs w:val="21"/>
          <w:shd w:val="clear" w:color="auto" w:fill="FFFFFF"/>
        </w:rPr>
        <w:lastRenderedPageBreak/>
        <w:t>that investors should, consider these non-GAAP financial measures in isolation from, or as a substitute for, financial information prepared in accordance with GAAP. Material limitations associated with the use of such measures include that they do not reflect all costs included in operating expenses and may not be comparable with similarly named financial measures of other companies. Furthermore, these non-GAAP financial measures are based on subjective determinations of management regarding the nature and classification of events and circumstances. The Company presents these non-GAAP financial measures to provide investors with information to evaluate the Company’s operating results in a manner similar to how management evaluates business performance. To compensate for any limitations in such non-GAAP financial measures, management believes that it is useful in understanding and analyzing the results of the business to review both GAAP information and the related non-GAAP financial measures. Whenever the Company uses a non-GAAP financial measure, it provides a reconciliation of the non-GAAP financial measure to the most directly comparable GAAP financial measure. Investors are encouraged to review and consider these reconciliations.</w:t>
      </w:r>
      <w:bookmarkEnd w:id="1"/>
    </w:p>
    <w:bookmarkEnd w:id="2"/>
    <w:p w14:paraId="5348878B" w14:textId="77777777" w:rsidR="00D35708" w:rsidRPr="00BD54AA" w:rsidRDefault="00D35708" w:rsidP="00BD54AA">
      <w:pPr>
        <w:shd w:val="clear" w:color="auto" w:fill="FFFFFF"/>
        <w:spacing w:after="0" w:line="240" w:lineRule="auto"/>
        <w:jc w:val="both"/>
        <w:rPr>
          <w:rFonts w:ascii="Helvetica" w:hAnsi="Helvetica" w:cs="Helvetica"/>
          <w:sz w:val="21"/>
          <w:szCs w:val="21"/>
          <w:shd w:val="clear" w:color="auto" w:fill="FFFFFF"/>
        </w:rPr>
      </w:pPr>
    </w:p>
    <w:p w14:paraId="2084B092" w14:textId="77777777" w:rsidR="00D35708" w:rsidRPr="00BD54AA" w:rsidRDefault="00D35708" w:rsidP="00BD54AA">
      <w:pPr>
        <w:shd w:val="clear" w:color="auto" w:fill="FFFFFF"/>
        <w:spacing w:after="0" w:line="240" w:lineRule="auto"/>
        <w:jc w:val="both"/>
        <w:rPr>
          <w:rFonts w:ascii="Helvetica" w:hAnsi="Helvetica" w:cs="Helvetica"/>
          <w:b/>
          <w:bCs/>
          <w:i/>
          <w:iCs/>
          <w:sz w:val="21"/>
          <w:szCs w:val="21"/>
          <w:shd w:val="clear" w:color="auto" w:fill="FFFFFF"/>
        </w:rPr>
      </w:pPr>
      <w:r w:rsidRPr="00BD54AA">
        <w:rPr>
          <w:rFonts w:ascii="Helvetica" w:hAnsi="Helvetica" w:cs="Helvetica"/>
          <w:b/>
          <w:bCs/>
          <w:sz w:val="21"/>
          <w:szCs w:val="21"/>
          <w:shd w:val="clear" w:color="auto" w:fill="FFFFFF"/>
        </w:rPr>
        <w:t>Conference Call</w:t>
      </w:r>
    </w:p>
    <w:p w14:paraId="1D76990C" w14:textId="77777777" w:rsidR="00D35708" w:rsidRDefault="00D35708" w:rsidP="00BD54AA">
      <w:pPr>
        <w:pStyle w:val="NoSpacing"/>
        <w:jc w:val="both"/>
        <w:rPr>
          <w:rFonts w:ascii="Helvetica" w:hAnsi="Helvetica" w:cs="Helvetica"/>
          <w:sz w:val="21"/>
          <w:szCs w:val="21"/>
          <w:shd w:val="clear" w:color="auto" w:fill="FFFFFF"/>
        </w:rPr>
      </w:pPr>
    </w:p>
    <w:p w14:paraId="0400108A" w14:textId="04FC84E3" w:rsidR="00716468" w:rsidRDefault="00716468" w:rsidP="00716468">
      <w:pPr>
        <w:pStyle w:val="NoSpacing"/>
        <w:jc w:val="both"/>
        <w:rPr>
          <w:rFonts w:ascii="Helvetica" w:hAnsi="Helvetica" w:cs="Helvetica"/>
          <w:sz w:val="21"/>
          <w:szCs w:val="21"/>
          <w:shd w:val="clear" w:color="auto" w:fill="FFFFFF"/>
        </w:rPr>
      </w:pPr>
      <w:r>
        <w:rPr>
          <w:rFonts w:ascii="Helvetica" w:hAnsi="Helvetica" w:cs="Helvetica"/>
          <w:sz w:val="21"/>
          <w:szCs w:val="21"/>
          <w:shd w:val="clear" w:color="auto" w:fill="FFFFFF"/>
        </w:rPr>
        <w:t xml:space="preserve">Sanara will host a conference call on Tuesday, </w:t>
      </w:r>
      <w:r w:rsidR="00C22034">
        <w:rPr>
          <w:rFonts w:ascii="Helvetica" w:hAnsi="Helvetica" w:cs="Helvetica"/>
          <w:sz w:val="21"/>
          <w:szCs w:val="21"/>
          <w:shd w:val="clear" w:color="auto" w:fill="FFFFFF"/>
        </w:rPr>
        <w:t>May</w:t>
      </w:r>
      <w:r>
        <w:rPr>
          <w:rFonts w:ascii="Helvetica" w:hAnsi="Helvetica" w:cs="Helvetica"/>
          <w:sz w:val="21"/>
          <w:szCs w:val="21"/>
          <w:shd w:val="clear" w:color="auto" w:fill="FFFFFF"/>
        </w:rPr>
        <w:t xml:space="preserve"> </w:t>
      </w:r>
      <w:r w:rsidR="00C22034">
        <w:rPr>
          <w:rFonts w:ascii="Helvetica" w:hAnsi="Helvetica" w:cs="Helvetica"/>
          <w:sz w:val="21"/>
          <w:szCs w:val="21"/>
          <w:shd w:val="clear" w:color="auto" w:fill="FFFFFF"/>
        </w:rPr>
        <w:t>14</w:t>
      </w:r>
      <w:r>
        <w:rPr>
          <w:rFonts w:ascii="Helvetica" w:hAnsi="Helvetica" w:cs="Helvetica"/>
          <w:sz w:val="21"/>
          <w:szCs w:val="21"/>
          <w:shd w:val="clear" w:color="auto" w:fill="FFFFFF"/>
        </w:rPr>
        <w:t xml:space="preserve">, 2024, at 9:00 a.m. Eastern Time. The toll-free number to call for this teleconference is </w:t>
      </w:r>
      <w:r>
        <w:rPr>
          <w:rFonts w:ascii="Helvetica" w:hAnsi="Helvetica" w:cs="Helvetica"/>
          <w:color w:val="000000"/>
          <w:sz w:val="21"/>
          <w:szCs w:val="21"/>
        </w:rPr>
        <w:t>888-506-0062</w:t>
      </w:r>
      <w:r>
        <w:rPr>
          <w:rFonts w:ascii="Helvetica" w:hAnsi="Helvetica" w:cs="Helvetica"/>
          <w:color w:val="000000"/>
          <w:sz w:val="21"/>
          <w:szCs w:val="21"/>
          <w:shd w:val="clear" w:color="auto" w:fill="FFFFFF"/>
        </w:rPr>
        <w:t xml:space="preserve"> (international callers: 973-528-0011) and the access code is </w:t>
      </w:r>
      <w:r w:rsidR="00C22034">
        <w:rPr>
          <w:rFonts w:ascii="Helvetica" w:hAnsi="Helvetica" w:cs="Helvetica"/>
          <w:color w:val="000000"/>
          <w:sz w:val="21"/>
          <w:szCs w:val="21"/>
          <w:shd w:val="clear" w:color="auto" w:fill="FFFFFF"/>
        </w:rPr>
        <w:t>25370</w:t>
      </w:r>
      <w:r w:rsidR="00D85406">
        <w:rPr>
          <w:rFonts w:ascii="Helvetica" w:hAnsi="Helvetica" w:cs="Helvetica"/>
          <w:color w:val="000000"/>
          <w:sz w:val="21"/>
          <w:szCs w:val="21"/>
          <w:shd w:val="clear" w:color="auto" w:fill="FFFFFF"/>
        </w:rPr>
        <w:t>0</w:t>
      </w:r>
      <w:r>
        <w:rPr>
          <w:rFonts w:ascii="Helvetica" w:hAnsi="Helvetica" w:cs="Helvetica"/>
          <w:color w:val="000000"/>
          <w:sz w:val="21"/>
          <w:szCs w:val="21"/>
          <w:shd w:val="clear" w:color="auto" w:fill="FFFFFF"/>
        </w:rPr>
        <w:t xml:space="preserve">. A telephonic replay of the conference call will be available through Tuesday, </w:t>
      </w:r>
      <w:r w:rsidR="00D85406">
        <w:rPr>
          <w:rFonts w:ascii="Helvetica" w:hAnsi="Helvetica" w:cs="Helvetica"/>
          <w:color w:val="000000"/>
          <w:sz w:val="21"/>
          <w:szCs w:val="21"/>
          <w:shd w:val="clear" w:color="auto" w:fill="FFFFFF"/>
        </w:rPr>
        <w:t>May</w:t>
      </w:r>
      <w:r>
        <w:rPr>
          <w:rFonts w:ascii="Helvetica" w:hAnsi="Helvetica" w:cs="Helvetica"/>
          <w:color w:val="000000"/>
          <w:sz w:val="21"/>
          <w:szCs w:val="21"/>
          <w:shd w:val="clear" w:color="auto" w:fill="FFFFFF"/>
        </w:rPr>
        <w:t xml:space="preserve"> </w:t>
      </w:r>
      <w:r w:rsidR="00D85406">
        <w:rPr>
          <w:rFonts w:ascii="Helvetica" w:hAnsi="Helvetica" w:cs="Helvetica"/>
          <w:color w:val="000000"/>
          <w:sz w:val="21"/>
          <w:szCs w:val="21"/>
          <w:shd w:val="clear" w:color="auto" w:fill="FFFFFF"/>
        </w:rPr>
        <w:t>28</w:t>
      </w:r>
      <w:r>
        <w:rPr>
          <w:rFonts w:ascii="Helvetica" w:hAnsi="Helvetica" w:cs="Helvetica"/>
          <w:color w:val="000000"/>
          <w:sz w:val="21"/>
          <w:szCs w:val="21"/>
          <w:shd w:val="clear" w:color="auto" w:fill="FFFFFF"/>
        </w:rPr>
        <w:t>, 2024, by dialing 877-481-4010 (international callers: 919-882-2331) and entering the replay passcode: 50</w:t>
      </w:r>
      <w:r w:rsidR="00D85406">
        <w:rPr>
          <w:rFonts w:ascii="Helvetica" w:hAnsi="Helvetica" w:cs="Helvetica"/>
          <w:color w:val="000000"/>
          <w:sz w:val="21"/>
          <w:szCs w:val="21"/>
          <w:shd w:val="clear" w:color="auto" w:fill="FFFFFF"/>
        </w:rPr>
        <w:t>526</w:t>
      </w:r>
      <w:r>
        <w:rPr>
          <w:rFonts w:ascii="Helvetica" w:hAnsi="Helvetica" w:cs="Helvetica"/>
          <w:color w:val="000000"/>
          <w:sz w:val="21"/>
          <w:szCs w:val="21"/>
        </w:rPr>
        <w:t>.</w:t>
      </w:r>
    </w:p>
    <w:p w14:paraId="11872579" w14:textId="77777777" w:rsidR="00716468" w:rsidRDefault="00716468" w:rsidP="00716468">
      <w:pPr>
        <w:pStyle w:val="NoSpacing"/>
        <w:jc w:val="both"/>
        <w:rPr>
          <w:rFonts w:ascii="Helvetica" w:hAnsi="Helvetica" w:cs="Helvetica"/>
          <w:sz w:val="21"/>
          <w:szCs w:val="21"/>
          <w:shd w:val="clear" w:color="auto" w:fill="FFFFFF"/>
        </w:rPr>
      </w:pPr>
    </w:p>
    <w:p w14:paraId="08B5544C" w14:textId="149D777B" w:rsidR="00716468" w:rsidRDefault="00716468" w:rsidP="00716468">
      <w:pPr>
        <w:pStyle w:val="NoSpacing"/>
        <w:jc w:val="both"/>
        <w:rPr>
          <w:rFonts w:ascii="Helvetica" w:hAnsi="Helvetica" w:cs="Helvetica"/>
          <w:sz w:val="21"/>
          <w:szCs w:val="21"/>
          <w:shd w:val="clear" w:color="auto" w:fill="FFFFFF"/>
        </w:rPr>
      </w:pPr>
      <w:r>
        <w:rPr>
          <w:rFonts w:ascii="Helvetica" w:hAnsi="Helvetica" w:cs="Helvetica"/>
          <w:sz w:val="21"/>
          <w:szCs w:val="21"/>
          <w:shd w:val="clear" w:color="auto" w:fill="FFFFFF"/>
        </w:rPr>
        <w:t xml:space="preserve">A live </w:t>
      </w:r>
      <w:hyperlink r:id="rId9" w:history="1">
        <w:r>
          <w:rPr>
            <w:rStyle w:val="Hyperlink"/>
            <w:rFonts w:ascii="Helvetica" w:hAnsi="Helvetica" w:cs="Helvetica"/>
            <w:sz w:val="21"/>
            <w:szCs w:val="21"/>
            <w:shd w:val="clear" w:color="auto" w:fill="FFFFFF"/>
          </w:rPr>
          <w:t>webcast</w:t>
        </w:r>
      </w:hyperlink>
      <w:r>
        <w:rPr>
          <w:rFonts w:ascii="Helvetica" w:hAnsi="Helvetica" w:cs="Helvetica"/>
          <w:sz w:val="21"/>
          <w:szCs w:val="21"/>
          <w:shd w:val="clear" w:color="auto" w:fill="FFFFFF"/>
        </w:rPr>
        <w:t xml:space="preserve"> of Sanara’s conference call will be available under the Investor Relations section of the Company's website, </w:t>
      </w:r>
      <w:hyperlink r:id="rId10" w:history="1">
        <w:r>
          <w:rPr>
            <w:rStyle w:val="Hyperlink"/>
            <w:rFonts w:ascii="Helvetica" w:hAnsi="Helvetica" w:cs="Helvetica"/>
            <w:sz w:val="21"/>
            <w:szCs w:val="21"/>
            <w:shd w:val="clear" w:color="auto" w:fill="FFFFFF"/>
          </w:rPr>
          <w:t>www.SanaraMedTech.com</w:t>
        </w:r>
      </w:hyperlink>
      <w:r>
        <w:rPr>
          <w:rFonts w:ascii="Helvetica" w:hAnsi="Helvetica" w:cs="Helvetica"/>
          <w:sz w:val="21"/>
          <w:szCs w:val="21"/>
          <w:shd w:val="clear" w:color="auto" w:fill="FFFFFF"/>
        </w:rPr>
        <w:t>. A one-year online replay will be available after the conclusion of the live broadcast.</w:t>
      </w:r>
    </w:p>
    <w:p w14:paraId="2CFA8A26" w14:textId="77777777" w:rsidR="005A4DBC" w:rsidRDefault="005A4DBC" w:rsidP="005A4DBC">
      <w:pPr>
        <w:pStyle w:val="ListParagraph"/>
        <w:shd w:val="clear" w:color="auto" w:fill="FFFFFF"/>
        <w:spacing w:after="240" w:line="240" w:lineRule="auto"/>
        <w:jc w:val="both"/>
        <w:rPr>
          <w:rFonts w:ascii="Helvetica" w:eastAsia="Times New Roman" w:hAnsi="Helvetica" w:cs="Helvetica"/>
          <w:b/>
          <w:bCs/>
          <w:i/>
          <w:iCs/>
          <w:color w:val="222222"/>
          <w:sz w:val="21"/>
          <w:szCs w:val="21"/>
        </w:rPr>
      </w:pPr>
    </w:p>
    <w:p w14:paraId="0A8132BD" w14:textId="2FE9875B" w:rsidR="00D27667" w:rsidRPr="005A4DBC" w:rsidRDefault="00D27667" w:rsidP="005A4DBC">
      <w:pPr>
        <w:pStyle w:val="ListParagraph"/>
        <w:shd w:val="clear" w:color="auto" w:fill="FFFFFF"/>
        <w:spacing w:after="240" w:line="240" w:lineRule="auto"/>
        <w:ind w:left="0"/>
        <w:jc w:val="both"/>
        <w:rPr>
          <w:rFonts w:ascii="Helvetica" w:hAnsi="Helvetica" w:cs="Helvetica"/>
          <w:b/>
          <w:bCs/>
          <w:sz w:val="21"/>
          <w:szCs w:val="21"/>
          <w:shd w:val="clear" w:color="auto" w:fill="FFFFFF"/>
        </w:rPr>
      </w:pPr>
      <w:bookmarkStart w:id="3" w:name="_Hlk129957903"/>
      <w:r w:rsidRPr="005A4DBC">
        <w:rPr>
          <w:rFonts w:ascii="Helvetica" w:hAnsi="Helvetica" w:cs="Helvetica"/>
          <w:b/>
          <w:bCs/>
          <w:sz w:val="21"/>
          <w:szCs w:val="21"/>
          <w:shd w:val="clear" w:color="auto" w:fill="FFFFFF"/>
        </w:rPr>
        <w:t>About</w:t>
      </w:r>
      <w:r w:rsidR="003530C0" w:rsidRPr="005A4DBC">
        <w:rPr>
          <w:rFonts w:ascii="Helvetica" w:hAnsi="Helvetica" w:cs="Helvetica"/>
          <w:b/>
          <w:bCs/>
          <w:sz w:val="21"/>
          <w:szCs w:val="21"/>
          <w:shd w:val="clear" w:color="auto" w:fill="FFFFFF"/>
        </w:rPr>
        <w:t xml:space="preserve"> </w:t>
      </w:r>
      <w:r w:rsidRPr="005A4DBC">
        <w:rPr>
          <w:rFonts w:ascii="Helvetica" w:hAnsi="Helvetica" w:cs="Helvetica"/>
          <w:b/>
          <w:bCs/>
          <w:sz w:val="21"/>
          <w:szCs w:val="21"/>
          <w:shd w:val="clear" w:color="auto" w:fill="FFFFFF"/>
        </w:rPr>
        <w:t>Sanara Med</w:t>
      </w:r>
      <w:r w:rsidR="00441DF4" w:rsidRPr="005A4DBC">
        <w:rPr>
          <w:rFonts w:ascii="Helvetica" w:hAnsi="Helvetica" w:cs="Helvetica"/>
          <w:b/>
          <w:bCs/>
          <w:sz w:val="21"/>
          <w:szCs w:val="21"/>
          <w:shd w:val="clear" w:color="auto" w:fill="FFFFFF"/>
        </w:rPr>
        <w:t>T</w:t>
      </w:r>
      <w:r w:rsidRPr="005A4DBC">
        <w:rPr>
          <w:rFonts w:ascii="Helvetica" w:hAnsi="Helvetica" w:cs="Helvetica"/>
          <w:b/>
          <w:bCs/>
          <w:sz w:val="21"/>
          <w:szCs w:val="21"/>
          <w:shd w:val="clear" w:color="auto" w:fill="FFFFFF"/>
        </w:rPr>
        <w:t>ech Inc.</w:t>
      </w:r>
    </w:p>
    <w:p w14:paraId="061BB5D7" w14:textId="7095CBEF" w:rsidR="00527A6C" w:rsidRDefault="00527A6C" w:rsidP="000F6022">
      <w:pPr>
        <w:jc w:val="both"/>
        <w:rPr>
          <w:rFonts w:ascii="Helvetica" w:hAnsi="Helvetica" w:cs="Helvetica"/>
          <w:sz w:val="21"/>
          <w:szCs w:val="21"/>
          <w:shd w:val="clear" w:color="auto" w:fill="FFFFFF"/>
        </w:rPr>
      </w:pPr>
      <w:r w:rsidRPr="00527A6C">
        <w:rPr>
          <w:rFonts w:ascii="Helvetica" w:hAnsi="Helvetica" w:cs="Helvetica"/>
          <w:sz w:val="21"/>
          <w:szCs w:val="21"/>
          <w:shd w:val="clear" w:color="auto" w:fill="FFFFFF"/>
        </w:rPr>
        <w:t>With a focus on improving patient outcomes through evidence-based healing solutions, Sanara MedTech Inc. markets, distributes and develops surgical, wound and skincare products for use by physicians and clinicians in hospitals, clinics and all post-acute care settings and offers wound care and dermatology virtual consultation services via telemedicine. Sanara’s products are primarily sold in the North American advanced wound care and surgical tissue repair markets. Sanara markets and distributes CellerateRX</w:t>
      </w:r>
      <w:r w:rsidRPr="00A30EB5">
        <w:rPr>
          <w:rFonts w:ascii="Helvetica" w:hAnsi="Helvetica" w:cs="Helvetica"/>
          <w:sz w:val="21"/>
          <w:szCs w:val="21"/>
          <w:shd w:val="clear" w:color="auto" w:fill="FFFFFF"/>
          <w:vertAlign w:val="superscript"/>
        </w:rPr>
        <w:t>®</w:t>
      </w:r>
      <w:r w:rsidRPr="00527A6C">
        <w:rPr>
          <w:rFonts w:ascii="Helvetica" w:hAnsi="Helvetica" w:cs="Helvetica"/>
          <w:sz w:val="21"/>
          <w:szCs w:val="21"/>
          <w:shd w:val="clear" w:color="auto" w:fill="FFFFFF"/>
        </w:rPr>
        <w:t xml:space="preserve"> Surgical Activated Collagen</w:t>
      </w:r>
      <w:r w:rsidRPr="00A30EB5">
        <w:rPr>
          <w:rFonts w:ascii="Helvetica" w:hAnsi="Helvetica" w:cs="Helvetica"/>
          <w:sz w:val="21"/>
          <w:szCs w:val="21"/>
          <w:shd w:val="clear" w:color="auto" w:fill="FFFFFF"/>
          <w:vertAlign w:val="superscript"/>
        </w:rPr>
        <w:t>®</w:t>
      </w:r>
      <w:r w:rsidRPr="00527A6C">
        <w:rPr>
          <w:rFonts w:ascii="Helvetica" w:hAnsi="Helvetica" w:cs="Helvetica"/>
          <w:sz w:val="21"/>
          <w:szCs w:val="21"/>
          <w:shd w:val="clear" w:color="auto" w:fill="FFFFFF"/>
        </w:rPr>
        <w:t>, FORTIFY TRG</w:t>
      </w:r>
      <w:r w:rsidRPr="00A30EB5">
        <w:rPr>
          <w:rFonts w:ascii="Helvetica" w:hAnsi="Helvetica" w:cs="Helvetica"/>
          <w:sz w:val="21"/>
          <w:szCs w:val="21"/>
          <w:shd w:val="clear" w:color="auto" w:fill="FFFFFF"/>
          <w:vertAlign w:val="superscript"/>
        </w:rPr>
        <w:t>®</w:t>
      </w:r>
      <w:r w:rsidRPr="00527A6C">
        <w:rPr>
          <w:rFonts w:ascii="Helvetica" w:hAnsi="Helvetica" w:cs="Helvetica"/>
          <w:sz w:val="21"/>
          <w:szCs w:val="21"/>
          <w:shd w:val="clear" w:color="auto" w:fill="FFFFFF"/>
        </w:rPr>
        <w:t xml:space="preserve"> Tissue Repair Graft and FORTIFY FLOWABLE</w:t>
      </w:r>
      <w:r w:rsidRPr="00A30EB5">
        <w:rPr>
          <w:rFonts w:ascii="Helvetica" w:hAnsi="Helvetica" w:cs="Helvetica"/>
          <w:sz w:val="21"/>
          <w:szCs w:val="21"/>
          <w:shd w:val="clear" w:color="auto" w:fill="FFFFFF"/>
          <w:vertAlign w:val="superscript"/>
        </w:rPr>
        <w:t>®</w:t>
      </w:r>
      <w:r w:rsidRPr="00527A6C">
        <w:rPr>
          <w:rFonts w:ascii="Helvetica" w:hAnsi="Helvetica" w:cs="Helvetica"/>
          <w:sz w:val="21"/>
          <w:szCs w:val="21"/>
          <w:shd w:val="clear" w:color="auto" w:fill="FFFFFF"/>
        </w:rPr>
        <w:t xml:space="preserve"> Extracellular Matrix as well as a portfolio of advanced biologic products focusing on A</w:t>
      </w:r>
      <w:r w:rsidR="00B52B47">
        <w:rPr>
          <w:rFonts w:ascii="Helvetica" w:hAnsi="Helvetica" w:cs="Helvetica"/>
          <w:sz w:val="21"/>
          <w:szCs w:val="21"/>
          <w:shd w:val="clear" w:color="auto" w:fill="FFFFFF"/>
        </w:rPr>
        <w:t>CTIGEN</w:t>
      </w:r>
      <w:r w:rsidRPr="00A30EB5">
        <w:rPr>
          <w:rFonts w:ascii="Helvetica" w:hAnsi="Helvetica" w:cs="Helvetica"/>
          <w:sz w:val="21"/>
          <w:szCs w:val="21"/>
          <w:shd w:val="clear" w:color="auto" w:fill="FFFFFF"/>
          <w:vertAlign w:val="superscript"/>
        </w:rPr>
        <w:t>™</w:t>
      </w:r>
      <w:r w:rsidRPr="00527A6C">
        <w:rPr>
          <w:rFonts w:ascii="Helvetica" w:hAnsi="Helvetica" w:cs="Helvetica"/>
          <w:sz w:val="21"/>
          <w:szCs w:val="21"/>
          <w:shd w:val="clear" w:color="auto" w:fill="FFFFFF"/>
        </w:rPr>
        <w:t xml:space="preserve"> Verified Inductive Bone Matrix, ALLOCYTE</w:t>
      </w:r>
      <w:r w:rsidRPr="00A30EB5">
        <w:rPr>
          <w:rFonts w:ascii="Helvetica" w:hAnsi="Helvetica" w:cs="Helvetica"/>
          <w:sz w:val="21"/>
          <w:szCs w:val="21"/>
          <w:shd w:val="clear" w:color="auto" w:fill="FFFFFF"/>
          <w:vertAlign w:val="superscript"/>
        </w:rPr>
        <w:t>™</w:t>
      </w:r>
      <w:r w:rsidRPr="00527A6C">
        <w:rPr>
          <w:rFonts w:ascii="Helvetica" w:hAnsi="Helvetica" w:cs="Helvetica"/>
          <w:sz w:val="21"/>
          <w:szCs w:val="21"/>
          <w:shd w:val="clear" w:color="auto" w:fill="FFFFFF"/>
        </w:rPr>
        <w:t xml:space="preserve"> </w:t>
      </w:r>
      <w:r w:rsidR="00B52B47">
        <w:rPr>
          <w:rFonts w:ascii="Helvetica" w:hAnsi="Helvetica" w:cs="Helvetica"/>
          <w:sz w:val="21"/>
          <w:szCs w:val="21"/>
          <w:shd w:val="clear" w:color="auto" w:fill="FFFFFF"/>
        </w:rPr>
        <w:t xml:space="preserve">Plus </w:t>
      </w:r>
      <w:r w:rsidRPr="00527A6C">
        <w:rPr>
          <w:rFonts w:ascii="Helvetica" w:hAnsi="Helvetica" w:cs="Helvetica"/>
          <w:sz w:val="21"/>
          <w:szCs w:val="21"/>
          <w:shd w:val="clear" w:color="auto" w:fill="FFFFFF"/>
        </w:rPr>
        <w:t xml:space="preserve">Advanced </w:t>
      </w:r>
      <w:r w:rsidR="00B52B47">
        <w:rPr>
          <w:rFonts w:ascii="Helvetica" w:hAnsi="Helvetica" w:cs="Helvetica"/>
          <w:sz w:val="21"/>
          <w:szCs w:val="21"/>
          <w:shd w:val="clear" w:color="auto" w:fill="FFFFFF"/>
        </w:rPr>
        <w:t>Viable</w:t>
      </w:r>
      <w:r w:rsidRPr="00527A6C">
        <w:rPr>
          <w:rFonts w:ascii="Helvetica" w:hAnsi="Helvetica" w:cs="Helvetica"/>
          <w:sz w:val="21"/>
          <w:szCs w:val="21"/>
          <w:shd w:val="clear" w:color="auto" w:fill="FFFFFF"/>
        </w:rPr>
        <w:t xml:space="preserve"> Bone Matrix, BiFORM</w:t>
      </w:r>
      <w:r w:rsidRPr="00A30EB5">
        <w:rPr>
          <w:rFonts w:ascii="Helvetica" w:hAnsi="Helvetica" w:cs="Helvetica"/>
          <w:sz w:val="21"/>
          <w:szCs w:val="21"/>
          <w:shd w:val="clear" w:color="auto" w:fill="FFFFFF"/>
          <w:vertAlign w:val="superscript"/>
        </w:rPr>
        <w:t>®</w:t>
      </w:r>
      <w:r w:rsidRPr="00527A6C">
        <w:rPr>
          <w:rFonts w:ascii="Helvetica" w:hAnsi="Helvetica" w:cs="Helvetica"/>
          <w:sz w:val="21"/>
          <w:szCs w:val="21"/>
          <w:shd w:val="clear" w:color="auto" w:fill="FFFFFF"/>
        </w:rPr>
        <w:t xml:space="preserve"> Bioactive Moldable Matrix</w:t>
      </w:r>
      <w:r w:rsidR="00B52B47">
        <w:rPr>
          <w:rFonts w:ascii="Helvetica" w:hAnsi="Helvetica" w:cs="Helvetica"/>
          <w:sz w:val="21"/>
          <w:szCs w:val="21"/>
          <w:shd w:val="clear" w:color="auto" w:fill="FFFFFF"/>
        </w:rPr>
        <w:t>,</w:t>
      </w:r>
      <w:r w:rsidRPr="00527A6C">
        <w:rPr>
          <w:rFonts w:ascii="Helvetica" w:hAnsi="Helvetica" w:cs="Helvetica"/>
          <w:sz w:val="21"/>
          <w:szCs w:val="21"/>
          <w:shd w:val="clear" w:color="auto" w:fill="FFFFFF"/>
        </w:rPr>
        <w:t xml:space="preserve"> TEXAGEN</w:t>
      </w:r>
      <w:r w:rsidRPr="00A30EB5">
        <w:rPr>
          <w:rFonts w:ascii="Helvetica" w:hAnsi="Helvetica" w:cs="Helvetica"/>
          <w:sz w:val="21"/>
          <w:szCs w:val="21"/>
          <w:shd w:val="clear" w:color="auto" w:fill="FFFFFF"/>
          <w:vertAlign w:val="superscript"/>
        </w:rPr>
        <w:t>®</w:t>
      </w:r>
      <w:r w:rsidRPr="00527A6C">
        <w:rPr>
          <w:rFonts w:ascii="Helvetica" w:hAnsi="Helvetica" w:cs="Helvetica"/>
          <w:sz w:val="21"/>
          <w:szCs w:val="21"/>
          <w:shd w:val="clear" w:color="auto" w:fill="FFFFFF"/>
        </w:rPr>
        <w:t xml:space="preserve"> Amniotic Membrane Allograft</w:t>
      </w:r>
      <w:r w:rsidR="00B52B47">
        <w:rPr>
          <w:rFonts w:ascii="Helvetica" w:hAnsi="Helvetica" w:cs="Helvetica"/>
          <w:sz w:val="21"/>
          <w:szCs w:val="21"/>
          <w:shd w:val="clear" w:color="auto" w:fill="FFFFFF"/>
        </w:rPr>
        <w:t>, and BIASURGE</w:t>
      </w:r>
      <w:r w:rsidR="00B52B47" w:rsidRPr="00A30EB5">
        <w:rPr>
          <w:rFonts w:ascii="Helvetica" w:hAnsi="Helvetica" w:cs="Helvetica"/>
          <w:sz w:val="21"/>
          <w:szCs w:val="21"/>
          <w:shd w:val="clear" w:color="auto" w:fill="FFFFFF"/>
          <w:vertAlign w:val="superscript"/>
        </w:rPr>
        <w:t>®</w:t>
      </w:r>
      <w:r w:rsidR="00B52B47">
        <w:rPr>
          <w:rFonts w:ascii="Helvetica" w:hAnsi="Helvetica" w:cs="Helvetica"/>
          <w:sz w:val="21"/>
          <w:szCs w:val="21"/>
          <w:shd w:val="clear" w:color="auto" w:fill="FFFFFF"/>
        </w:rPr>
        <w:t xml:space="preserve"> Advanced Surgical Solution</w:t>
      </w:r>
      <w:r w:rsidRPr="00527A6C">
        <w:rPr>
          <w:rFonts w:ascii="Helvetica" w:hAnsi="Helvetica" w:cs="Helvetica"/>
          <w:sz w:val="21"/>
          <w:szCs w:val="21"/>
          <w:shd w:val="clear" w:color="auto" w:fill="FFFFFF"/>
        </w:rPr>
        <w:t xml:space="preserve"> to the surgical market. In addition, the following products are sold in the wound care market: BIAKŌS</w:t>
      </w:r>
      <w:r w:rsidR="00B52B47" w:rsidRPr="00A30EB5">
        <w:rPr>
          <w:rFonts w:ascii="Helvetica" w:hAnsi="Helvetica" w:cs="Helvetica"/>
          <w:sz w:val="21"/>
          <w:szCs w:val="21"/>
          <w:shd w:val="clear" w:color="auto" w:fill="FFFFFF"/>
          <w:vertAlign w:val="superscript"/>
        </w:rPr>
        <w:t>®</w:t>
      </w:r>
      <w:r w:rsidRPr="00527A6C">
        <w:rPr>
          <w:rFonts w:ascii="Helvetica" w:hAnsi="Helvetica" w:cs="Helvetica"/>
          <w:sz w:val="21"/>
          <w:szCs w:val="21"/>
          <w:shd w:val="clear" w:color="auto" w:fill="FFFFFF"/>
        </w:rPr>
        <w:t xml:space="preserve"> Antimicrobial Skin and Wound Cleanser, BIAKŌS</w:t>
      </w:r>
      <w:r w:rsidR="00B52B47" w:rsidRPr="00A30EB5">
        <w:rPr>
          <w:rFonts w:ascii="Helvetica" w:hAnsi="Helvetica" w:cs="Helvetica"/>
          <w:sz w:val="21"/>
          <w:szCs w:val="21"/>
          <w:shd w:val="clear" w:color="auto" w:fill="FFFFFF"/>
          <w:vertAlign w:val="superscript"/>
        </w:rPr>
        <w:t>®</w:t>
      </w:r>
      <w:r w:rsidRPr="00527A6C">
        <w:rPr>
          <w:rFonts w:ascii="Helvetica" w:hAnsi="Helvetica" w:cs="Helvetica"/>
          <w:sz w:val="21"/>
          <w:szCs w:val="21"/>
          <w:shd w:val="clear" w:color="auto" w:fill="FFFFFF"/>
        </w:rPr>
        <w:t xml:space="preserve"> Antimicrobial Wound Gel, BIAKŌS</w:t>
      </w:r>
      <w:r w:rsidR="00B52B47" w:rsidRPr="00A30EB5">
        <w:rPr>
          <w:rFonts w:ascii="Helvetica" w:hAnsi="Helvetica" w:cs="Helvetica"/>
          <w:sz w:val="21"/>
          <w:szCs w:val="21"/>
          <w:shd w:val="clear" w:color="auto" w:fill="FFFFFF"/>
          <w:vertAlign w:val="superscript"/>
        </w:rPr>
        <w:t>®</w:t>
      </w:r>
      <w:r w:rsidRPr="00527A6C">
        <w:rPr>
          <w:rFonts w:ascii="Helvetica" w:hAnsi="Helvetica" w:cs="Helvetica"/>
          <w:sz w:val="21"/>
          <w:szCs w:val="21"/>
          <w:shd w:val="clear" w:color="auto" w:fill="FFFFFF"/>
        </w:rPr>
        <w:t xml:space="preserve"> Antimicrobial Skin and Wound Irrigation Solution and HYCOL</w:t>
      </w:r>
      <w:r w:rsidRPr="00A30EB5">
        <w:rPr>
          <w:rFonts w:ascii="Helvetica" w:hAnsi="Helvetica" w:cs="Helvetica"/>
          <w:sz w:val="21"/>
          <w:szCs w:val="21"/>
          <w:shd w:val="clear" w:color="auto" w:fill="FFFFFF"/>
          <w:vertAlign w:val="superscript"/>
        </w:rPr>
        <w:t>®</w:t>
      </w:r>
      <w:r w:rsidRPr="00527A6C">
        <w:rPr>
          <w:rFonts w:ascii="Helvetica" w:hAnsi="Helvetica" w:cs="Helvetica"/>
          <w:sz w:val="21"/>
          <w:szCs w:val="21"/>
          <w:shd w:val="clear" w:color="auto" w:fill="FFFFFF"/>
        </w:rPr>
        <w:t xml:space="preserve"> Hydrolyzed Collagen. Sanara’s pipeline also contains potentially transformative product candidates for mitigation of opportunistic pathogens and biofilm, wound re-epithelialization and closure, necrotic tissue debridement and cell compatible substrates. The Company believes it has the ability to drive its pipeline from concept to preclinical and clinical development while meeting quality and regulatory requirements. Sanara is constantly seeking long-term strategic partnerships with a focus on products that improve outcomes at a lower overall cost. </w:t>
      </w:r>
    </w:p>
    <w:p w14:paraId="54A0D54B" w14:textId="25C8095B" w:rsidR="004045C5" w:rsidRDefault="005F1352">
      <w:pPr>
        <w:rPr>
          <w:rFonts w:ascii="Helvetica" w:hAnsi="Helvetica" w:cs="Helvetica"/>
          <w:b/>
          <w:bCs/>
          <w:sz w:val="21"/>
          <w:szCs w:val="21"/>
          <w:shd w:val="clear" w:color="auto" w:fill="FFFFFF"/>
        </w:rPr>
      </w:pPr>
      <w:r>
        <w:rPr>
          <w:rFonts w:ascii="Helvetica" w:hAnsi="Helvetica" w:cs="Helvetica"/>
          <w:b/>
          <w:bCs/>
          <w:sz w:val="21"/>
          <w:szCs w:val="21"/>
          <w:shd w:val="clear" w:color="auto" w:fill="FFFFFF"/>
        </w:rPr>
        <w:t>Information about Forward-Looking Statements</w:t>
      </w:r>
    </w:p>
    <w:p w14:paraId="5EE68DFA" w14:textId="4C9D814A" w:rsidR="003530C0" w:rsidRPr="003530C0" w:rsidRDefault="003530C0" w:rsidP="00287855">
      <w:pPr>
        <w:jc w:val="both"/>
        <w:rPr>
          <w:rFonts w:ascii="Helvetica" w:hAnsi="Helvetica" w:cs="Helvetica"/>
          <w:sz w:val="21"/>
          <w:szCs w:val="21"/>
          <w:shd w:val="clear" w:color="auto" w:fill="FFFFFF"/>
        </w:rPr>
      </w:pPr>
      <w:r w:rsidRPr="003530C0">
        <w:rPr>
          <w:rFonts w:ascii="Helvetica" w:hAnsi="Helvetica" w:cs="Helvetica"/>
          <w:sz w:val="21"/>
          <w:szCs w:val="21"/>
          <w:shd w:val="clear" w:color="auto" w:fill="FFFFFF"/>
        </w:rPr>
        <w:t xml:space="preserve">The statements in this press release that do not constitute historical facts are “forward-looking statements,” within the meaning of and subject to the safe harbor created by the Private Securities Litigation Reform Act of 1995. These statements may be identified by terms such as </w:t>
      </w:r>
      <w:r w:rsidR="0069010C">
        <w:rPr>
          <w:rFonts w:ascii="Helvetica" w:hAnsi="Helvetica" w:cs="Helvetica"/>
          <w:sz w:val="21"/>
          <w:szCs w:val="21"/>
          <w:shd w:val="clear" w:color="auto" w:fill="FFFFFF"/>
        </w:rPr>
        <w:t xml:space="preserve">“aims,” </w:t>
      </w:r>
      <w:r w:rsidR="007E5997" w:rsidRPr="003530C0">
        <w:rPr>
          <w:rFonts w:ascii="Helvetica" w:hAnsi="Helvetica" w:cs="Helvetica"/>
          <w:sz w:val="21"/>
          <w:szCs w:val="21"/>
          <w:shd w:val="clear" w:color="auto" w:fill="FFFFFF"/>
        </w:rPr>
        <w:t>“anticipate</w:t>
      </w:r>
      <w:r w:rsidR="007E5997">
        <w:rPr>
          <w:rFonts w:ascii="Helvetica" w:hAnsi="Helvetica" w:cs="Helvetica"/>
          <w:sz w:val="21"/>
          <w:szCs w:val="21"/>
          <w:shd w:val="clear" w:color="auto" w:fill="FFFFFF"/>
        </w:rPr>
        <w:t>s</w:t>
      </w:r>
      <w:r w:rsidR="007E5997" w:rsidRPr="003530C0">
        <w:rPr>
          <w:rFonts w:ascii="Helvetica" w:hAnsi="Helvetica" w:cs="Helvetica"/>
          <w:sz w:val="21"/>
          <w:szCs w:val="21"/>
          <w:shd w:val="clear" w:color="auto" w:fill="FFFFFF"/>
        </w:rPr>
        <w:t>,” “believes,” contemplates,”</w:t>
      </w:r>
      <w:r w:rsidR="007E5997">
        <w:rPr>
          <w:rFonts w:ascii="Helvetica" w:hAnsi="Helvetica" w:cs="Helvetica"/>
          <w:sz w:val="21"/>
          <w:szCs w:val="21"/>
          <w:shd w:val="clear" w:color="auto" w:fill="FFFFFF"/>
        </w:rPr>
        <w:t xml:space="preserve"> </w:t>
      </w:r>
      <w:r w:rsidR="007E5997" w:rsidRPr="003530C0">
        <w:rPr>
          <w:rFonts w:ascii="Helvetica" w:hAnsi="Helvetica" w:cs="Helvetica"/>
          <w:sz w:val="21"/>
          <w:szCs w:val="21"/>
          <w:shd w:val="clear" w:color="auto" w:fill="FFFFFF"/>
        </w:rPr>
        <w:t>“continue</w:t>
      </w:r>
      <w:r w:rsidR="007E5997">
        <w:rPr>
          <w:rFonts w:ascii="Helvetica" w:hAnsi="Helvetica" w:cs="Helvetica"/>
          <w:sz w:val="21"/>
          <w:szCs w:val="21"/>
          <w:shd w:val="clear" w:color="auto" w:fill="FFFFFF"/>
        </w:rPr>
        <w:t>,</w:t>
      </w:r>
      <w:r w:rsidR="007E5997" w:rsidRPr="003530C0">
        <w:rPr>
          <w:rFonts w:ascii="Helvetica" w:hAnsi="Helvetica" w:cs="Helvetica"/>
          <w:sz w:val="21"/>
          <w:szCs w:val="21"/>
          <w:shd w:val="clear" w:color="auto" w:fill="FFFFFF"/>
        </w:rPr>
        <w:t xml:space="preserve">” “could,” “estimates,” </w:t>
      </w:r>
      <w:r w:rsidRPr="003530C0">
        <w:rPr>
          <w:rFonts w:ascii="Helvetica" w:hAnsi="Helvetica" w:cs="Helvetica"/>
          <w:sz w:val="21"/>
          <w:szCs w:val="21"/>
          <w:shd w:val="clear" w:color="auto" w:fill="FFFFFF"/>
        </w:rPr>
        <w:t>“expect,”</w:t>
      </w:r>
      <w:r w:rsidR="0082366A">
        <w:rPr>
          <w:rFonts w:ascii="Helvetica" w:hAnsi="Helvetica" w:cs="Helvetica"/>
          <w:sz w:val="21"/>
          <w:szCs w:val="21"/>
          <w:shd w:val="clear" w:color="auto" w:fill="FFFFFF"/>
        </w:rPr>
        <w:t xml:space="preserve"> “forecast,” </w:t>
      </w:r>
      <w:r w:rsidR="0082366A">
        <w:rPr>
          <w:rFonts w:ascii="Helvetica" w:hAnsi="Helvetica" w:cs="Helvetica"/>
          <w:sz w:val="21"/>
          <w:szCs w:val="21"/>
          <w:shd w:val="clear" w:color="auto" w:fill="FFFFFF"/>
        </w:rPr>
        <w:lastRenderedPageBreak/>
        <w:t>“guidance,”</w:t>
      </w:r>
      <w:r w:rsidRPr="003530C0">
        <w:rPr>
          <w:rFonts w:ascii="Helvetica" w:hAnsi="Helvetica" w:cs="Helvetica"/>
          <w:sz w:val="21"/>
          <w:szCs w:val="21"/>
          <w:shd w:val="clear" w:color="auto" w:fill="FFFFFF"/>
        </w:rPr>
        <w:t xml:space="preserve"> </w:t>
      </w:r>
      <w:r w:rsidR="007E5997" w:rsidRPr="003530C0">
        <w:rPr>
          <w:rFonts w:ascii="Helvetica" w:hAnsi="Helvetica" w:cs="Helvetica"/>
          <w:sz w:val="21"/>
          <w:szCs w:val="21"/>
          <w:shd w:val="clear" w:color="auto" w:fill="FFFFFF"/>
        </w:rPr>
        <w:t xml:space="preserve">“intend,” “may,” </w:t>
      </w:r>
      <w:r w:rsidRPr="003530C0">
        <w:rPr>
          <w:rFonts w:ascii="Helvetica" w:hAnsi="Helvetica" w:cs="Helvetica"/>
          <w:sz w:val="21"/>
          <w:szCs w:val="21"/>
          <w:shd w:val="clear" w:color="auto" w:fill="FFFFFF"/>
        </w:rPr>
        <w:t>“plan,”</w:t>
      </w:r>
      <w:r w:rsidR="0082366A">
        <w:rPr>
          <w:rFonts w:ascii="Helvetica" w:hAnsi="Helvetica" w:cs="Helvetica"/>
          <w:sz w:val="21"/>
          <w:szCs w:val="21"/>
          <w:shd w:val="clear" w:color="auto" w:fill="FFFFFF"/>
        </w:rPr>
        <w:t xml:space="preserve"> “possible,”</w:t>
      </w:r>
      <w:r w:rsidRPr="003530C0">
        <w:rPr>
          <w:rFonts w:ascii="Helvetica" w:hAnsi="Helvetica" w:cs="Helvetica"/>
          <w:sz w:val="21"/>
          <w:szCs w:val="21"/>
          <w:shd w:val="clear" w:color="auto" w:fill="FFFFFF"/>
        </w:rPr>
        <w:t xml:space="preserve"> </w:t>
      </w:r>
      <w:r w:rsidR="007E5997" w:rsidRPr="003530C0">
        <w:rPr>
          <w:rFonts w:ascii="Helvetica" w:hAnsi="Helvetica" w:cs="Helvetica"/>
          <w:sz w:val="21"/>
          <w:szCs w:val="21"/>
          <w:shd w:val="clear" w:color="auto" w:fill="FFFFFF"/>
        </w:rPr>
        <w:t>“potential</w:t>
      </w:r>
      <w:r w:rsidR="007E5997">
        <w:rPr>
          <w:rFonts w:ascii="Helvetica" w:hAnsi="Helvetica" w:cs="Helvetica"/>
          <w:sz w:val="21"/>
          <w:szCs w:val="21"/>
          <w:shd w:val="clear" w:color="auto" w:fill="FFFFFF"/>
        </w:rPr>
        <w:t>,</w:t>
      </w:r>
      <w:r w:rsidR="007E5997" w:rsidRPr="003530C0">
        <w:rPr>
          <w:rFonts w:ascii="Helvetica" w:hAnsi="Helvetica" w:cs="Helvetica"/>
          <w:sz w:val="21"/>
          <w:szCs w:val="21"/>
          <w:shd w:val="clear" w:color="auto" w:fill="FFFFFF"/>
        </w:rPr>
        <w:t>” “predicts,” “preliminary,” “project</w:t>
      </w:r>
      <w:r w:rsidR="007E5997">
        <w:rPr>
          <w:rFonts w:ascii="Helvetica" w:hAnsi="Helvetica" w:cs="Helvetica"/>
          <w:sz w:val="21"/>
          <w:szCs w:val="21"/>
          <w:shd w:val="clear" w:color="auto" w:fill="FFFFFF"/>
        </w:rPr>
        <w:t>s</w:t>
      </w:r>
      <w:r w:rsidR="007E5997" w:rsidRPr="003530C0">
        <w:rPr>
          <w:rFonts w:ascii="Helvetica" w:hAnsi="Helvetica" w:cs="Helvetica"/>
          <w:sz w:val="21"/>
          <w:szCs w:val="21"/>
          <w:shd w:val="clear" w:color="auto" w:fill="FFFFFF"/>
        </w:rPr>
        <w:t xml:space="preserve">,” </w:t>
      </w:r>
      <w:r w:rsidR="00863E15">
        <w:rPr>
          <w:rFonts w:ascii="Helvetica" w:hAnsi="Helvetica" w:cs="Helvetica"/>
          <w:sz w:val="21"/>
          <w:szCs w:val="21"/>
          <w:shd w:val="clear" w:color="auto" w:fill="FFFFFF"/>
        </w:rPr>
        <w:t>“seek</w:t>
      </w:r>
      <w:r w:rsidR="007E5997">
        <w:rPr>
          <w:rFonts w:ascii="Helvetica" w:hAnsi="Helvetica" w:cs="Helvetica"/>
          <w:sz w:val="21"/>
          <w:szCs w:val="21"/>
          <w:shd w:val="clear" w:color="auto" w:fill="FFFFFF"/>
        </w:rPr>
        <w:t>s</w:t>
      </w:r>
      <w:r w:rsidR="00863E15">
        <w:rPr>
          <w:rFonts w:ascii="Helvetica" w:hAnsi="Helvetica" w:cs="Helvetica"/>
          <w:sz w:val="21"/>
          <w:szCs w:val="21"/>
          <w:shd w:val="clear" w:color="auto" w:fill="FFFFFF"/>
        </w:rPr>
        <w:t>,”</w:t>
      </w:r>
      <w:r w:rsidR="0082366A">
        <w:rPr>
          <w:rFonts w:ascii="Helvetica" w:hAnsi="Helvetica" w:cs="Helvetica"/>
          <w:sz w:val="21"/>
          <w:szCs w:val="21"/>
          <w:shd w:val="clear" w:color="auto" w:fill="FFFFFF"/>
        </w:rPr>
        <w:t xml:space="preserve"> “should,”</w:t>
      </w:r>
      <w:r w:rsidR="00863E15">
        <w:rPr>
          <w:rFonts w:ascii="Helvetica" w:hAnsi="Helvetica" w:cs="Helvetica"/>
          <w:sz w:val="21"/>
          <w:szCs w:val="21"/>
          <w:shd w:val="clear" w:color="auto" w:fill="FFFFFF"/>
        </w:rPr>
        <w:t xml:space="preserve"> </w:t>
      </w:r>
      <w:r w:rsidRPr="003530C0">
        <w:rPr>
          <w:rFonts w:ascii="Helvetica" w:hAnsi="Helvetica" w:cs="Helvetica"/>
          <w:sz w:val="21"/>
          <w:szCs w:val="21"/>
          <w:shd w:val="clear" w:color="auto" w:fill="FFFFFF"/>
        </w:rPr>
        <w:t>“target</w:t>
      </w:r>
      <w:r w:rsidR="007E5997">
        <w:rPr>
          <w:rFonts w:ascii="Helvetica" w:hAnsi="Helvetica" w:cs="Helvetica"/>
          <w:sz w:val="21"/>
          <w:szCs w:val="21"/>
          <w:shd w:val="clear" w:color="auto" w:fill="FFFFFF"/>
        </w:rPr>
        <w:t>s</w:t>
      </w:r>
      <w:r w:rsidRPr="003530C0">
        <w:rPr>
          <w:rFonts w:ascii="Helvetica" w:hAnsi="Helvetica" w:cs="Helvetica"/>
          <w:sz w:val="21"/>
          <w:szCs w:val="21"/>
          <w:shd w:val="clear" w:color="auto" w:fill="FFFFFF"/>
        </w:rPr>
        <w:t xml:space="preserve">,” </w:t>
      </w:r>
      <w:r w:rsidR="007E5997" w:rsidRPr="003530C0">
        <w:rPr>
          <w:rFonts w:ascii="Helvetica" w:hAnsi="Helvetica" w:cs="Helvetica"/>
          <w:sz w:val="21"/>
          <w:szCs w:val="21"/>
          <w:shd w:val="clear" w:color="auto" w:fill="FFFFFF"/>
        </w:rPr>
        <w:t>“will”</w:t>
      </w:r>
      <w:r w:rsidR="007E5997">
        <w:rPr>
          <w:rFonts w:ascii="Helvetica" w:hAnsi="Helvetica" w:cs="Helvetica"/>
          <w:sz w:val="21"/>
          <w:szCs w:val="21"/>
          <w:shd w:val="clear" w:color="auto" w:fill="FFFFFF"/>
        </w:rPr>
        <w:t xml:space="preserve"> </w:t>
      </w:r>
      <w:r w:rsidRPr="003530C0">
        <w:rPr>
          <w:rFonts w:ascii="Helvetica" w:hAnsi="Helvetica" w:cs="Helvetica"/>
          <w:sz w:val="21"/>
          <w:szCs w:val="21"/>
          <w:shd w:val="clear" w:color="auto" w:fill="FFFFFF"/>
        </w:rPr>
        <w:t>or</w:t>
      </w:r>
      <w:r w:rsidR="00867061">
        <w:rPr>
          <w:rFonts w:ascii="Helvetica" w:hAnsi="Helvetica" w:cs="Helvetica"/>
          <w:sz w:val="21"/>
          <w:szCs w:val="21"/>
          <w:shd w:val="clear" w:color="auto" w:fill="FFFFFF"/>
        </w:rPr>
        <w:t xml:space="preserve"> </w:t>
      </w:r>
      <w:r w:rsidR="007E5997" w:rsidRPr="003530C0">
        <w:rPr>
          <w:rFonts w:ascii="Helvetica" w:hAnsi="Helvetica" w:cs="Helvetica"/>
          <w:sz w:val="21"/>
          <w:szCs w:val="21"/>
          <w:shd w:val="clear" w:color="auto" w:fill="FFFFFF"/>
        </w:rPr>
        <w:t>“would,”</w:t>
      </w:r>
      <w:r w:rsidRPr="003530C0">
        <w:rPr>
          <w:rFonts w:ascii="Helvetica" w:hAnsi="Helvetica" w:cs="Helvetica"/>
          <w:sz w:val="21"/>
          <w:szCs w:val="21"/>
          <w:shd w:val="clear" w:color="auto" w:fill="FFFFFF"/>
        </w:rPr>
        <w:t xml:space="preserve"> or the negatives of these terms, variations of these terms or other similar expressions. These forward-looking statements include</w:t>
      </w:r>
      <w:r w:rsidR="005E193B">
        <w:rPr>
          <w:rFonts w:ascii="Helvetica" w:hAnsi="Helvetica" w:cs="Helvetica"/>
          <w:sz w:val="21"/>
          <w:szCs w:val="21"/>
          <w:shd w:val="clear" w:color="auto" w:fill="FFFFFF"/>
        </w:rPr>
        <w:t>, among others,</w:t>
      </w:r>
      <w:r w:rsidRPr="003530C0">
        <w:rPr>
          <w:rFonts w:ascii="Helvetica" w:hAnsi="Helvetica" w:cs="Helvetica"/>
          <w:sz w:val="21"/>
          <w:szCs w:val="21"/>
          <w:shd w:val="clear" w:color="auto" w:fill="FFFFFF"/>
        </w:rPr>
        <w:t xml:space="preserve"> statements regarding</w:t>
      </w:r>
      <w:r w:rsidR="00A30EB5">
        <w:rPr>
          <w:rFonts w:ascii="Helvetica" w:hAnsi="Helvetica" w:cs="Helvetica"/>
          <w:sz w:val="21"/>
          <w:szCs w:val="21"/>
          <w:shd w:val="clear" w:color="auto" w:fill="FFFFFF"/>
        </w:rPr>
        <w:t xml:space="preserve"> </w:t>
      </w:r>
      <w:r w:rsidRPr="003530C0">
        <w:rPr>
          <w:rFonts w:ascii="Helvetica" w:hAnsi="Helvetica" w:cs="Helvetica"/>
          <w:sz w:val="21"/>
          <w:szCs w:val="21"/>
          <w:shd w:val="clear" w:color="auto" w:fill="FFFFFF"/>
        </w:rPr>
        <w:t>the development of new products</w:t>
      </w:r>
      <w:r w:rsidR="005E193B">
        <w:rPr>
          <w:rFonts w:ascii="Helvetica" w:hAnsi="Helvetica" w:cs="Helvetica"/>
          <w:sz w:val="21"/>
          <w:szCs w:val="21"/>
          <w:shd w:val="clear" w:color="auto" w:fill="FFFFFF"/>
        </w:rPr>
        <w:t>,</w:t>
      </w:r>
      <w:r w:rsidR="00AC225C" w:rsidRPr="00AC225C">
        <w:t xml:space="preserve"> </w:t>
      </w:r>
      <w:r w:rsidR="00AC225C" w:rsidRPr="00AC225C">
        <w:rPr>
          <w:rFonts w:ascii="Helvetica" w:hAnsi="Helvetica" w:cs="Helvetica"/>
          <w:sz w:val="21"/>
          <w:szCs w:val="21"/>
          <w:shd w:val="clear" w:color="auto" w:fill="FFFFFF"/>
        </w:rPr>
        <w:t>the timing of commercialization of our products,</w:t>
      </w:r>
      <w:r w:rsidR="005E193B">
        <w:rPr>
          <w:rFonts w:ascii="Helvetica" w:hAnsi="Helvetica" w:cs="Helvetica"/>
          <w:sz w:val="21"/>
          <w:szCs w:val="21"/>
          <w:shd w:val="clear" w:color="auto" w:fill="FFFFFF"/>
        </w:rPr>
        <w:t xml:space="preserve"> the regulatory approval process</w:t>
      </w:r>
      <w:r w:rsidRPr="003530C0">
        <w:rPr>
          <w:rFonts w:ascii="Helvetica" w:hAnsi="Helvetica" w:cs="Helvetica"/>
          <w:sz w:val="21"/>
          <w:szCs w:val="21"/>
          <w:shd w:val="clear" w:color="auto" w:fill="FFFFFF"/>
        </w:rPr>
        <w:t xml:space="preserve"> and expansion of the Company’s business in telehealth and wound care.</w:t>
      </w:r>
      <w:r w:rsidR="00193546">
        <w:rPr>
          <w:rFonts w:ascii="Helvetica" w:hAnsi="Helvetica" w:cs="Helvetica"/>
          <w:sz w:val="21"/>
          <w:szCs w:val="21"/>
          <w:shd w:val="clear" w:color="auto" w:fill="FFFFFF"/>
        </w:rPr>
        <w:t xml:space="preserve"> </w:t>
      </w:r>
      <w:r w:rsidRPr="003530C0">
        <w:rPr>
          <w:rFonts w:ascii="Helvetica" w:hAnsi="Helvetica" w:cs="Helvetica"/>
          <w:sz w:val="21"/>
          <w:szCs w:val="21"/>
          <w:shd w:val="clear" w:color="auto" w:fill="FFFFFF"/>
        </w:rPr>
        <w:t>These items involve risks, contingencies and uncertainties such as</w:t>
      </w:r>
      <w:r w:rsidR="002E7D83">
        <w:rPr>
          <w:rFonts w:ascii="Helvetica" w:hAnsi="Helvetica" w:cs="Helvetica"/>
          <w:sz w:val="21"/>
          <w:szCs w:val="21"/>
          <w:shd w:val="clear" w:color="auto" w:fill="FFFFFF"/>
        </w:rPr>
        <w:t xml:space="preserve"> </w:t>
      </w:r>
      <w:r w:rsidR="003B19F1">
        <w:rPr>
          <w:rFonts w:ascii="Helvetica" w:hAnsi="Helvetica" w:cs="Helvetica"/>
          <w:sz w:val="21"/>
          <w:szCs w:val="21"/>
          <w:shd w:val="clear" w:color="auto" w:fill="FFFFFF"/>
        </w:rPr>
        <w:t xml:space="preserve">our ability to build out our executive team, our ability to identify and effectively utilize the net proceeds of the term loan to </w:t>
      </w:r>
      <w:r w:rsidR="003B19F1" w:rsidRPr="00060A2B">
        <w:rPr>
          <w:rFonts w:ascii="Helvetica" w:hAnsi="Helvetica" w:cs="Helvetica"/>
          <w:sz w:val="21"/>
          <w:szCs w:val="21"/>
          <w:shd w:val="clear" w:color="auto" w:fill="FFFFFF"/>
        </w:rPr>
        <w:t>support the Company’s growth initiatives</w:t>
      </w:r>
      <w:r w:rsidR="003B19F1">
        <w:rPr>
          <w:rFonts w:ascii="Helvetica" w:hAnsi="Helvetica" w:cs="Helvetica"/>
          <w:sz w:val="21"/>
          <w:szCs w:val="21"/>
          <w:shd w:val="clear" w:color="auto" w:fill="FFFFFF"/>
        </w:rPr>
        <w:t xml:space="preserve">, </w:t>
      </w:r>
      <w:r w:rsidRPr="003530C0">
        <w:rPr>
          <w:rFonts w:ascii="Helvetica" w:hAnsi="Helvetica" w:cs="Helvetica"/>
          <w:sz w:val="21"/>
          <w:szCs w:val="21"/>
          <w:shd w:val="clear" w:color="auto" w:fill="FFFFFF"/>
        </w:rPr>
        <w:t>the extent of product demand, market and customer acceptance, the effect of economic conditions,</w:t>
      </w:r>
      <w:r w:rsidR="00193546">
        <w:rPr>
          <w:rFonts w:ascii="Helvetica" w:hAnsi="Helvetica" w:cs="Helvetica"/>
          <w:sz w:val="21"/>
          <w:szCs w:val="21"/>
          <w:shd w:val="clear" w:color="auto" w:fill="FFFFFF"/>
        </w:rPr>
        <w:t xml:space="preserve"> </w:t>
      </w:r>
      <w:r w:rsidRPr="003530C0">
        <w:rPr>
          <w:rFonts w:ascii="Helvetica" w:hAnsi="Helvetica" w:cs="Helvetica"/>
          <w:sz w:val="21"/>
          <w:szCs w:val="21"/>
          <w:shd w:val="clear" w:color="auto" w:fill="FFFFFF"/>
        </w:rPr>
        <w:t xml:space="preserve">competition, pricing, </w:t>
      </w:r>
      <w:r w:rsidR="002C44DC">
        <w:rPr>
          <w:rFonts w:ascii="Helvetica" w:hAnsi="Helvetica" w:cs="Helvetica"/>
          <w:sz w:val="21"/>
          <w:szCs w:val="21"/>
          <w:shd w:val="clear" w:color="auto" w:fill="FFFFFF"/>
        </w:rPr>
        <w:t xml:space="preserve">uncertainties associated with the development and process for obtaining regulatory approval for new products, </w:t>
      </w:r>
      <w:r w:rsidRPr="003530C0">
        <w:rPr>
          <w:rFonts w:ascii="Helvetica" w:hAnsi="Helvetica" w:cs="Helvetica"/>
          <w:sz w:val="21"/>
          <w:szCs w:val="21"/>
          <w:shd w:val="clear" w:color="auto" w:fill="FFFFFF"/>
        </w:rPr>
        <w:t>the ability to consummate and integrate acquisitions, and other risks, contingencies and uncertainties detailed in the Company’s SEC filings, which could cause the Company’s actual operating results, performance or business plans or prospects to differ materially from those expressed in,</w:t>
      </w:r>
      <w:r w:rsidR="00193546">
        <w:rPr>
          <w:rFonts w:ascii="Helvetica" w:hAnsi="Helvetica" w:cs="Helvetica"/>
          <w:sz w:val="21"/>
          <w:szCs w:val="21"/>
          <w:shd w:val="clear" w:color="auto" w:fill="FFFFFF"/>
        </w:rPr>
        <w:t xml:space="preserve"> </w:t>
      </w:r>
      <w:r w:rsidRPr="003530C0">
        <w:rPr>
          <w:rFonts w:ascii="Helvetica" w:hAnsi="Helvetica" w:cs="Helvetica"/>
          <w:sz w:val="21"/>
          <w:szCs w:val="21"/>
          <w:shd w:val="clear" w:color="auto" w:fill="FFFFFF"/>
        </w:rPr>
        <w:t>or implied by these statements.</w:t>
      </w:r>
    </w:p>
    <w:p w14:paraId="4896FF3A" w14:textId="10B9DF3F" w:rsidR="005E193B" w:rsidRDefault="003530C0" w:rsidP="00287855">
      <w:pPr>
        <w:jc w:val="both"/>
        <w:rPr>
          <w:rFonts w:ascii="Helvetica" w:hAnsi="Helvetica" w:cs="Helvetica"/>
          <w:sz w:val="21"/>
          <w:szCs w:val="21"/>
          <w:shd w:val="clear" w:color="auto" w:fill="FFFFFF"/>
        </w:rPr>
      </w:pPr>
      <w:r w:rsidRPr="003530C0">
        <w:rPr>
          <w:rFonts w:ascii="Helvetica" w:hAnsi="Helvetica" w:cs="Helvetica"/>
          <w:sz w:val="21"/>
          <w:szCs w:val="21"/>
          <w:shd w:val="clear" w:color="auto" w:fill="FFFFFF"/>
        </w:rPr>
        <w:t>All forward-looking statements speak only as of the date on which they are made, and the Company undertakes no obligation to revise any of these statements to reflect the future circumstances or the occurrence of unanticipated events, except as required by applicable securities laws.</w:t>
      </w:r>
    </w:p>
    <w:bookmarkEnd w:id="3"/>
    <w:p w14:paraId="2354F80D" w14:textId="63D4B15E" w:rsidR="004045C5" w:rsidRDefault="005F1352" w:rsidP="003530C0">
      <w:pPr>
        <w:rPr>
          <w:rFonts w:ascii="Helvetica" w:hAnsi="Helvetica" w:cs="Helvetica"/>
          <w:b/>
          <w:bCs/>
          <w:sz w:val="21"/>
          <w:szCs w:val="21"/>
          <w:shd w:val="clear" w:color="auto" w:fill="FFFFFF"/>
        </w:rPr>
      </w:pPr>
      <w:r>
        <w:rPr>
          <w:rFonts w:ascii="Helvetica" w:hAnsi="Helvetica" w:cs="Helvetica"/>
          <w:b/>
          <w:bCs/>
          <w:sz w:val="21"/>
          <w:szCs w:val="21"/>
          <w:shd w:val="clear" w:color="auto" w:fill="FFFFFF"/>
        </w:rPr>
        <w:t>Investor Contact:</w:t>
      </w:r>
    </w:p>
    <w:p w14:paraId="0DBCCD1D" w14:textId="77777777" w:rsidR="004045C5" w:rsidRDefault="005F1352">
      <w:pPr>
        <w:pStyle w:val="NoSpacing"/>
        <w:rPr>
          <w:rFonts w:ascii="Helvetica" w:hAnsi="Helvetica" w:cs="Helvetica"/>
          <w:sz w:val="21"/>
          <w:szCs w:val="21"/>
          <w:shd w:val="clear" w:color="auto" w:fill="FFFFFF"/>
        </w:rPr>
      </w:pPr>
      <w:r>
        <w:rPr>
          <w:rFonts w:ascii="Helvetica" w:hAnsi="Helvetica" w:cs="Helvetica"/>
          <w:sz w:val="21"/>
          <w:szCs w:val="21"/>
          <w:shd w:val="clear" w:color="auto" w:fill="FFFFFF"/>
        </w:rPr>
        <w:t>Callon Nichols, Director of Investor Relations</w:t>
      </w:r>
    </w:p>
    <w:p w14:paraId="1F158277" w14:textId="77777777" w:rsidR="004045C5" w:rsidRDefault="005F1352">
      <w:pPr>
        <w:pStyle w:val="NoSpacing"/>
        <w:rPr>
          <w:rFonts w:ascii="Helvetica" w:hAnsi="Helvetica" w:cs="Helvetica"/>
          <w:sz w:val="21"/>
          <w:szCs w:val="21"/>
          <w:shd w:val="clear" w:color="auto" w:fill="FFFFFF"/>
        </w:rPr>
      </w:pPr>
      <w:r>
        <w:rPr>
          <w:rFonts w:ascii="Helvetica" w:hAnsi="Helvetica" w:cs="Helvetica"/>
          <w:sz w:val="21"/>
          <w:szCs w:val="21"/>
          <w:shd w:val="clear" w:color="auto" w:fill="FFFFFF"/>
        </w:rPr>
        <w:t>713-826-0524</w:t>
      </w:r>
    </w:p>
    <w:p w14:paraId="173ADA29" w14:textId="22334775" w:rsidR="004045C5" w:rsidRDefault="009751EF">
      <w:pPr>
        <w:pStyle w:val="NoSpacing"/>
        <w:spacing w:after="240"/>
        <w:rPr>
          <w:rFonts w:ascii="Helvetica" w:hAnsi="Helvetica" w:cs="Helvetica"/>
          <w:sz w:val="21"/>
          <w:szCs w:val="21"/>
          <w:shd w:val="clear" w:color="auto" w:fill="FFFFFF"/>
        </w:rPr>
      </w:pPr>
      <w:hyperlink r:id="rId11" w:history="1">
        <w:r w:rsidR="00287855" w:rsidRPr="0025331E">
          <w:rPr>
            <w:rStyle w:val="Hyperlink"/>
            <w:rFonts w:ascii="Helvetica" w:hAnsi="Helvetica" w:cs="Helvetica"/>
            <w:sz w:val="21"/>
            <w:szCs w:val="21"/>
            <w:shd w:val="clear" w:color="auto" w:fill="FFFFFF"/>
          </w:rPr>
          <w:t>CNichols@sanaramedtech.com</w:t>
        </w:r>
      </w:hyperlink>
    </w:p>
    <w:p w14:paraId="47D022F2" w14:textId="77777777" w:rsidR="004045C5" w:rsidRDefault="005F1352">
      <w:pPr>
        <w:rPr>
          <w:rFonts w:ascii="Helvetica" w:hAnsi="Helvetica" w:cs="Helvetica"/>
          <w:sz w:val="21"/>
          <w:szCs w:val="21"/>
          <w:shd w:val="clear" w:color="auto" w:fill="FFFFFF"/>
        </w:rPr>
      </w:pPr>
      <w:r>
        <w:rPr>
          <w:rFonts w:ascii="Helvetica" w:hAnsi="Helvetica" w:cs="Helvetica"/>
          <w:b/>
          <w:bCs/>
          <w:sz w:val="21"/>
          <w:szCs w:val="21"/>
          <w:shd w:val="clear" w:color="auto" w:fill="FFFFFF"/>
        </w:rPr>
        <w:t>SOURCE: Sanara MedTech Inc</w:t>
      </w:r>
      <w:r>
        <w:rPr>
          <w:rFonts w:ascii="Helvetica" w:hAnsi="Helvetica" w:cs="Helvetica"/>
          <w:sz w:val="21"/>
          <w:szCs w:val="21"/>
          <w:shd w:val="clear" w:color="auto" w:fill="FFFFFF"/>
        </w:rPr>
        <w:t xml:space="preserve">. </w:t>
      </w:r>
    </w:p>
    <w:p w14:paraId="2780C0EE" w14:textId="77777777" w:rsidR="007B59CA" w:rsidRPr="00783AD6" w:rsidRDefault="007B59CA" w:rsidP="007B59CA">
      <w:pPr>
        <w:pStyle w:val="NoSpacing"/>
        <w:jc w:val="center"/>
        <w:rPr>
          <w:rFonts w:ascii="Times New Roman" w:hAnsi="Times New Roman" w:cs="Times New Roman"/>
          <w:b/>
          <w:bCs/>
          <w:noProof/>
        </w:rPr>
      </w:pPr>
      <w:r>
        <w:rPr>
          <w:rFonts w:ascii="Times New Roman" w:hAnsi="Times New Roman" w:cs="Times New Roman"/>
          <w:b/>
          <w:bCs/>
          <w:noProof/>
        </w:rPr>
        <w:t xml:space="preserve">SANARA </w:t>
      </w:r>
      <w:r w:rsidRPr="00783AD6">
        <w:rPr>
          <w:rFonts w:ascii="Times New Roman" w:hAnsi="Times New Roman" w:cs="Times New Roman"/>
          <w:b/>
          <w:bCs/>
          <w:noProof/>
        </w:rPr>
        <w:t>MEDTECH INC. AND SUBSIDIARIES</w:t>
      </w:r>
    </w:p>
    <w:p w14:paraId="11763E9C" w14:textId="77777777" w:rsidR="007B59CA" w:rsidRDefault="007B59CA" w:rsidP="007B59CA">
      <w:pPr>
        <w:pStyle w:val="NoSpacing"/>
        <w:jc w:val="center"/>
        <w:rPr>
          <w:rFonts w:ascii="Times New Roman" w:hAnsi="Times New Roman" w:cs="Times New Roman"/>
          <w:b/>
          <w:bCs/>
          <w:noProof/>
        </w:rPr>
      </w:pPr>
      <w:r w:rsidRPr="00783AD6">
        <w:rPr>
          <w:rFonts w:ascii="Times New Roman" w:hAnsi="Times New Roman" w:cs="Times New Roman"/>
          <w:b/>
          <w:bCs/>
          <w:noProof/>
        </w:rPr>
        <w:t>CONSOLIDATED BALANCE SHEETS</w:t>
      </w:r>
    </w:p>
    <w:p w14:paraId="004C997A" w14:textId="77777777" w:rsidR="007B59CA" w:rsidRDefault="007B59CA" w:rsidP="007B59CA">
      <w:pPr>
        <w:pStyle w:val="NoSpacing"/>
        <w:jc w:val="center"/>
        <w:rPr>
          <w:rFonts w:ascii="Times New Roman" w:hAnsi="Times New Roman" w:cs="Times New Roman"/>
          <w:b/>
          <w:bCs/>
          <w:noProof/>
        </w:rPr>
      </w:pPr>
    </w:p>
    <w:tbl>
      <w:tblPr>
        <w:tblW w:w="5000" w:type="pct"/>
        <w:shd w:val="clear" w:color="auto" w:fill="FFFFFF" w:themeFill="background1"/>
        <w:tblCellMar>
          <w:left w:w="0" w:type="dxa"/>
          <w:right w:w="0" w:type="dxa"/>
        </w:tblCellMar>
        <w:tblLook w:val="04A0" w:firstRow="1" w:lastRow="0" w:firstColumn="1" w:lastColumn="0" w:noHBand="0" w:noVBand="1"/>
      </w:tblPr>
      <w:tblGrid>
        <w:gridCol w:w="5988"/>
        <w:gridCol w:w="185"/>
        <w:gridCol w:w="100"/>
        <w:gridCol w:w="1308"/>
        <w:gridCol w:w="92"/>
        <w:gridCol w:w="185"/>
        <w:gridCol w:w="100"/>
        <w:gridCol w:w="1309"/>
        <w:gridCol w:w="93"/>
      </w:tblGrid>
      <w:tr w:rsidR="00AA042E" w:rsidRPr="00AA042E" w14:paraId="7EB69C4C" w14:textId="77777777" w:rsidTr="002534CB">
        <w:tc>
          <w:tcPr>
            <w:tcW w:w="0" w:type="auto"/>
            <w:shd w:val="clear" w:color="auto" w:fill="FFFFFF" w:themeFill="background1"/>
            <w:vAlign w:val="bottom"/>
            <w:hideMark/>
          </w:tcPr>
          <w:p w14:paraId="181C5EA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3690E69"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gridSpan w:val="2"/>
            <w:shd w:val="clear" w:color="auto" w:fill="FFFFFF" w:themeFill="background1"/>
            <w:vAlign w:val="bottom"/>
            <w:hideMark/>
          </w:tcPr>
          <w:p w14:paraId="405A81C8"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(Unaudited)</w:t>
            </w:r>
          </w:p>
        </w:tc>
        <w:tc>
          <w:tcPr>
            <w:tcW w:w="0" w:type="auto"/>
            <w:shd w:val="clear" w:color="auto" w:fill="FFFFFF" w:themeFill="background1"/>
            <w:vAlign w:val="bottom"/>
            <w:hideMark/>
          </w:tcPr>
          <w:p w14:paraId="6B31A50F"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vAlign w:val="bottom"/>
            <w:hideMark/>
          </w:tcPr>
          <w:p w14:paraId="6A9626D5" w14:textId="77777777" w:rsidR="00AA042E" w:rsidRPr="00AA042E" w:rsidRDefault="00AA042E" w:rsidP="00AA042E">
            <w:pPr>
              <w:spacing w:after="0" w:line="240" w:lineRule="auto"/>
              <w:jc w:val="center"/>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gridSpan w:val="2"/>
            <w:shd w:val="clear" w:color="auto" w:fill="FFFFFF" w:themeFill="background1"/>
            <w:vAlign w:val="bottom"/>
            <w:hideMark/>
          </w:tcPr>
          <w:p w14:paraId="1D5CB949" w14:textId="77777777" w:rsidR="00AA042E" w:rsidRPr="00AA042E" w:rsidRDefault="00AA042E" w:rsidP="00AA042E">
            <w:pPr>
              <w:spacing w:after="0" w:line="240" w:lineRule="auto"/>
              <w:jc w:val="center"/>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93CDB52" w14:textId="77777777" w:rsidR="00AA042E" w:rsidRPr="00AA042E" w:rsidRDefault="00AA042E" w:rsidP="00AA042E">
            <w:pPr>
              <w:spacing w:after="0" w:line="240" w:lineRule="auto"/>
              <w:jc w:val="center"/>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05CAC422" w14:textId="77777777" w:rsidTr="002534CB">
        <w:tc>
          <w:tcPr>
            <w:tcW w:w="0" w:type="auto"/>
            <w:shd w:val="clear" w:color="auto" w:fill="FFFFFF" w:themeFill="background1"/>
            <w:vAlign w:val="bottom"/>
            <w:hideMark/>
          </w:tcPr>
          <w:p w14:paraId="3E9702B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24F66DE"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gridSpan w:val="2"/>
            <w:shd w:val="clear" w:color="auto" w:fill="FFFFFF" w:themeFill="background1"/>
            <w:vAlign w:val="bottom"/>
            <w:hideMark/>
          </w:tcPr>
          <w:p w14:paraId="7B2A2451"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March 31,</w:t>
            </w:r>
          </w:p>
        </w:tc>
        <w:tc>
          <w:tcPr>
            <w:tcW w:w="0" w:type="auto"/>
            <w:shd w:val="clear" w:color="auto" w:fill="FFFFFF" w:themeFill="background1"/>
            <w:vAlign w:val="bottom"/>
            <w:hideMark/>
          </w:tcPr>
          <w:p w14:paraId="1AC0372E"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vAlign w:val="bottom"/>
            <w:hideMark/>
          </w:tcPr>
          <w:p w14:paraId="5B11AE02"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gridSpan w:val="2"/>
            <w:shd w:val="clear" w:color="auto" w:fill="FFFFFF" w:themeFill="background1"/>
            <w:vAlign w:val="bottom"/>
            <w:hideMark/>
          </w:tcPr>
          <w:p w14:paraId="504D7BCF"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December 31,</w:t>
            </w:r>
          </w:p>
        </w:tc>
        <w:tc>
          <w:tcPr>
            <w:tcW w:w="0" w:type="auto"/>
            <w:shd w:val="clear" w:color="auto" w:fill="FFFFFF" w:themeFill="background1"/>
            <w:vAlign w:val="bottom"/>
            <w:hideMark/>
          </w:tcPr>
          <w:p w14:paraId="4793A26B"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r>
      <w:tr w:rsidR="00AA042E" w:rsidRPr="00AA042E" w14:paraId="213E4AC3" w14:textId="77777777" w:rsidTr="002534CB">
        <w:tc>
          <w:tcPr>
            <w:tcW w:w="0" w:type="auto"/>
            <w:shd w:val="clear" w:color="auto" w:fill="FFFFFF" w:themeFill="background1"/>
            <w:vAlign w:val="bottom"/>
            <w:hideMark/>
          </w:tcPr>
          <w:p w14:paraId="4ED2F6F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0E5A08F4"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gridSpan w:val="2"/>
            <w:tcBorders>
              <w:bottom w:val="single" w:sz="12" w:space="0" w:color="000000"/>
            </w:tcBorders>
            <w:shd w:val="clear" w:color="auto" w:fill="FFFFFF" w:themeFill="background1"/>
            <w:vAlign w:val="bottom"/>
            <w:hideMark/>
          </w:tcPr>
          <w:p w14:paraId="2F161F3B"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2024</w:t>
            </w:r>
          </w:p>
        </w:tc>
        <w:tc>
          <w:tcPr>
            <w:tcW w:w="0" w:type="auto"/>
            <w:shd w:val="clear" w:color="auto" w:fill="FFFFFF" w:themeFill="background1"/>
            <w:tcMar>
              <w:top w:w="0" w:type="dxa"/>
              <w:left w:w="0" w:type="dxa"/>
              <w:bottom w:w="30" w:type="dxa"/>
              <w:right w:w="0" w:type="dxa"/>
            </w:tcMar>
            <w:vAlign w:val="bottom"/>
            <w:hideMark/>
          </w:tcPr>
          <w:p w14:paraId="7EB8E2D0"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15E2313D"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gridSpan w:val="2"/>
            <w:tcBorders>
              <w:bottom w:val="single" w:sz="12" w:space="0" w:color="000000"/>
            </w:tcBorders>
            <w:shd w:val="clear" w:color="auto" w:fill="FFFFFF" w:themeFill="background1"/>
            <w:vAlign w:val="bottom"/>
            <w:hideMark/>
          </w:tcPr>
          <w:p w14:paraId="2187A563"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2023</w:t>
            </w:r>
          </w:p>
        </w:tc>
        <w:tc>
          <w:tcPr>
            <w:tcW w:w="0" w:type="auto"/>
            <w:shd w:val="clear" w:color="auto" w:fill="FFFFFF" w:themeFill="background1"/>
            <w:tcMar>
              <w:top w:w="0" w:type="dxa"/>
              <w:left w:w="0" w:type="dxa"/>
              <w:bottom w:w="30" w:type="dxa"/>
              <w:right w:w="0" w:type="dxa"/>
            </w:tcMar>
            <w:vAlign w:val="bottom"/>
            <w:hideMark/>
          </w:tcPr>
          <w:p w14:paraId="6BE09197"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r>
      <w:tr w:rsidR="00AA042E" w:rsidRPr="00AA042E" w14:paraId="3259660B" w14:textId="77777777" w:rsidTr="002534CB">
        <w:tc>
          <w:tcPr>
            <w:tcW w:w="0" w:type="auto"/>
            <w:shd w:val="clear" w:color="auto" w:fill="FFFFFF" w:themeFill="background1"/>
            <w:vAlign w:val="bottom"/>
            <w:hideMark/>
          </w:tcPr>
          <w:p w14:paraId="6DC6ECE2"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Assets</w:t>
            </w:r>
          </w:p>
        </w:tc>
        <w:tc>
          <w:tcPr>
            <w:tcW w:w="0" w:type="auto"/>
            <w:shd w:val="clear" w:color="auto" w:fill="FFFFFF" w:themeFill="background1"/>
            <w:vAlign w:val="bottom"/>
            <w:hideMark/>
          </w:tcPr>
          <w:p w14:paraId="037A965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0E61B04"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6A71DA6"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429682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38DB43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E47EBE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832377E"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9879B3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39A04CEC" w14:textId="77777777" w:rsidTr="002534CB">
        <w:tc>
          <w:tcPr>
            <w:tcW w:w="0" w:type="auto"/>
            <w:shd w:val="clear" w:color="auto" w:fill="FFFFFF" w:themeFill="background1"/>
            <w:vAlign w:val="bottom"/>
            <w:hideMark/>
          </w:tcPr>
          <w:p w14:paraId="2AAC732A"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Current assets</w:t>
            </w:r>
          </w:p>
        </w:tc>
        <w:tc>
          <w:tcPr>
            <w:tcW w:w="0" w:type="auto"/>
            <w:shd w:val="clear" w:color="auto" w:fill="FFFFFF" w:themeFill="background1"/>
            <w:vAlign w:val="bottom"/>
            <w:hideMark/>
          </w:tcPr>
          <w:p w14:paraId="34CACA74"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2C5A6D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39DA898"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259B50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683616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93D8B2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9106155"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472F7F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007A12A9" w14:textId="77777777" w:rsidTr="002534CB">
        <w:tc>
          <w:tcPr>
            <w:tcW w:w="3200" w:type="pct"/>
            <w:shd w:val="clear" w:color="auto" w:fill="FFFFFF" w:themeFill="background1"/>
            <w:tcMar>
              <w:top w:w="0" w:type="dxa"/>
              <w:left w:w="200" w:type="dxa"/>
              <w:bottom w:w="0" w:type="dxa"/>
              <w:right w:w="0" w:type="dxa"/>
            </w:tcMar>
            <w:vAlign w:val="bottom"/>
            <w:hideMark/>
          </w:tcPr>
          <w:p w14:paraId="55B3D36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Cash</w:t>
            </w:r>
          </w:p>
        </w:tc>
        <w:tc>
          <w:tcPr>
            <w:tcW w:w="100" w:type="pct"/>
            <w:shd w:val="clear" w:color="auto" w:fill="FFFFFF" w:themeFill="background1"/>
            <w:vAlign w:val="bottom"/>
            <w:hideMark/>
          </w:tcPr>
          <w:p w14:paraId="6EC2C05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50" w:type="pct"/>
            <w:shd w:val="clear" w:color="auto" w:fill="FFFFFF" w:themeFill="background1"/>
            <w:vAlign w:val="bottom"/>
            <w:hideMark/>
          </w:tcPr>
          <w:p w14:paraId="40595E8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w:t>
            </w:r>
          </w:p>
        </w:tc>
        <w:tc>
          <w:tcPr>
            <w:tcW w:w="700" w:type="pct"/>
            <w:shd w:val="clear" w:color="auto" w:fill="FFFFFF" w:themeFill="background1"/>
            <w:vAlign w:val="bottom"/>
            <w:hideMark/>
          </w:tcPr>
          <w:p w14:paraId="3F8B9524"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2,828,234</w:t>
            </w:r>
          </w:p>
        </w:tc>
        <w:tc>
          <w:tcPr>
            <w:tcW w:w="50" w:type="pct"/>
            <w:shd w:val="clear" w:color="auto" w:fill="FFFFFF" w:themeFill="background1"/>
            <w:vAlign w:val="bottom"/>
            <w:hideMark/>
          </w:tcPr>
          <w:p w14:paraId="68E55FD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100" w:type="pct"/>
            <w:shd w:val="clear" w:color="auto" w:fill="FFFFFF" w:themeFill="background1"/>
            <w:vAlign w:val="bottom"/>
            <w:hideMark/>
          </w:tcPr>
          <w:p w14:paraId="429AAC2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50" w:type="pct"/>
            <w:shd w:val="clear" w:color="auto" w:fill="FFFFFF" w:themeFill="background1"/>
            <w:vAlign w:val="bottom"/>
            <w:hideMark/>
          </w:tcPr>
          <w:p w14:paraId="42CBF17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w:t>
            </w:r>
          </w:p>
        </w:tc>
        <w:tc>
          <w:tcPr>
            <w:tcW w:w="700" w:type="pct"/>
            <w:shd w:val="clear" w:color="auto" w:fill="FFFFFF" w:themeFill="background1"/>
            <w:vAlign w:val="bottom"/>
            <w:hideMark/>
          </w:tcPr>
          <w:p w14:paraId="24FC62FD"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5,147,216</w:t>
            </w:r>
          </w:p>
        </w:tc>
        <w:tc>
          <w:tcPr>
            <w:tcW w:w="50" w:type="pct"/>
            <w:shd w:val="clear" w:color="auto" w:fill="FFFFFF" w:themeFill="background1"/>
            <w:vAlign w:val="bottom"/>
            <w:hideMark/>
          </w:tcPr>
          <w:p w14:paraId="016E5330"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0D0EAEC6" w14:textId="77777777" w:rsidTr="002534CB">
        <w:tc>
          <w:tcPr>
            <w:tcW w:w="0" w:type="auto"/>
            <w:shd w:val="clear" w:color="auto" w:fill="FFFFFF" w:themeFill="background1"/>
            <w:tcMar>
              <w:top w:w="0" w:type="dxa"/>
              <w:left w:w="200" w:type="dxa"/>
              <w:bottom w:w="0" w:type="dxa"/>
              <w:right w:w="0" w:type="dxa"/>
            </w:tcMar>
            <w:vAlign w:val="bottom"/>
            <w:hideMark/>
          </w:tcPr>
          <w:p w14:paraId="662A960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Accounts receivable, net</w:t>
            </w:r>
          </w:p>
        </w:tc>
        <w:tc>
          <w:tcPr>
            <w:tcW w:w="0" w:type="auto"/>
            <w:shd w:val="clear" w:color="auto" w:fill="FFFFFF" w:themeFill="background1"/>
            <w:vAlign w:val="bottom"/>
            <w:hideMark/>
          </w:tcPr>
          <w:p w14:paraId="0ACAEF4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6499E9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1565BCD"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9,194,799</w:t>
            </w:r>
          </w:p>
        </w:tc>
        <w:tc>
          <w:tcPr>
            <w:tcW w:w="0" w:type="auto"/>
            <w:shd w:val="clear" w:color="auto" w:fill="FFFFFF" w:themeFill="background1"/>
            <w:vAlign w:val="bottom"/>
            <w:hideMark/>
          </w:tcPr>
          <w:p w14:paraId="190CA9D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5DCFD1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9E54C1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CA5032B"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8,474,965</w:t>
            </w:r>
          </w:p>
        </w:tc>
        <w:tc>
          <w:tcPr>
            <w:tcW w:w="0" w:type="auto"/>
            <w:shd w:val="clear" w:color="auto" w:fill="FFFFFF" w:themeFill="background1"/>
            <w:vAlign w:val="bottom"/>
            <w:hideMark/>
          </w:tcPr>
          <w:p w14:paraId="7177694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6C8DE4C0" w14:textId="77777777" w:rsidTr="002534CB">
        <w:tc>
          <w:tcPr>
            <w:tcW w:w="0" w:type="auto"/>
            <w:shd w:val="clear" w:color="auto" w:fill="FFFFFF" w:themeFill="background1"/>
            <w:tcMar>
              <w:top w:w="0" w:type="dxa"/>
              <w:left w:w="200" w:type="dxa"/>
              <w:bottom w:w="0" w:type="dxa"/>
              <w:right w:w="0" w:type="dxa"/>
            </w:tcMar>
            <w:vAlign w:val="bottom"/>
            <w:hideMark/>
          </w:tcPr>
          <w:p w14:paraId="07539DA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Accounts receivable – related parties</w:t>
            </w:r>
          </w:p>
        </w:tc>
        <w:tc>
          <w:tcPr>
            <w:tcW w:w="0" w:type="auto"/>
            <w:shd w:val="clear" w:color="auto" w:fill="FFFFFF" w:themeFill="background1"/>
            <w:vAlign w:val="bottom"/>
            <w:hideMark/>
          </w:tcPr>
          <w:p w14:paraId="2DD3BA3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E9C238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70ADCF0"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23,002</w:t>
            </w:r>
          </w:p>
        </w:tc>
        <w:tc>
          <w:tcPr>
            <w:tcW w:w="0" w:type="auto"/>
            <w:shd w:val="clear" w:color="auto" w:fill="FFFFFF" w:themeFill="background1"/>
            <w:vAlign w:val="bottom"/>
            <w:hideMark/>
          </w:tcPr>
          <w:p w14:paraId="36CAAB3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81665F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E53B06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BA2D47A"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8,400</w:t>
            </w:r>
          </w:p>
        </w:tc>
        <w:tc>
          <w:tcPr>
            <w:tcW w:w="0" w:type="auto"/>
            <w:shd w:val="clear" w:color="auto" w:fill="FFFFFF" w:themeFill="background1"/>
            <w:vAlign w:val="bottom"/>
            <w:hideMark/>
          </w:tcPr>
          <w:p w14:paraId="10BE389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59315C1F" w14:textId="77777777" w:rsidTr="002534CB">
        <w:trPr>
          <w:hidden/>
        </w:trPr>
        <w:tc>
          <w:tcPr>
            <w:tcW w:w="0" w:type="auto"/>
            <w:shd w:val="clear" w:color="auto" w:fill="FFFFFF" w:themeFill="background1"/>
            <w:tcMar>
              <w:top w:w="0" w:type="dxa"/>
              <w:left w:w="200" w:type="dxa"/>
              <w:bottom w:w="0" w:type="dxa"/>
              <w:right w:w="0" w:type="dxa"/>
            </w:tcMar>
            <w:vAlign w:val="bottom"/>
            <w:hideMark/>
          </w:tcPr>
          <w:p w14:paraId="1A8D892C"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xml:space="preserve">Accounts receivable </w:t>
            </w:r>
          </w:p>
        </w:tc>
        <w:tc>
          <w:tcPr>
            <w:tcW w:w="0" w:type="auto"/>
            <w:shd w:val="clear" w:color="auto" w:fill="FFFFFF" w:themeFill="background1"/>
            <w:vAlign w:val="bottom"/>
            <w:hideMark/>
          </w:tcPr>
          <w:p w14:paraId="42D4145B"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w:t>
            </w:r>
          </w:p>
        </w:tc>
        <w:tc>
          <w:tcPr>
            <w:tcW w:w="0" w:type="auto"/>
            <w:shd w:val="clear" w:color="auto" w:fill="FFFFFF" w:themeFill="background1"/>
            <w:vAlign w:val="bottom"/>
            <w:hideMark/>
          </w:tcPr>
          <w:p w14:paraId="5D1DC9D0"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w:t>
            </w:r>
          </w:p>
        </w:tc>
        <w:tc>
          <w:tcPr>
            <w:tcW w:w="0" w:type="auto"/>
            <w:shd w:val="clear" w:color="auto" w:fill="FFFFFF" w:themeFill="background1"/>
            <w:vAlign w:val="bottom"/>
            <w:hideMark/>
          </w:tcPr>
          <w:p w14:paraId="5AD419D6" w14:textId="77777777" w:rsidR="00AA042E" w:rsidRPr="00AA042E" w:rsidRDefault="00AA042E" w:rsidP="00AA042E">
            <w:pPr>
              <w:spacing w:after="0" w:line="240" w:lineRule="auto"/>
              <w:jc w:val="right"/>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23,002</w:t>
            </w:r>
          </w:p>
        </w:tc>
        <w:tc>
          <w:tcPr>
            <w:tcW w:w="0" w:type="auto"/>
            <w:shd w:val="clear" w:color="auto" w:fill="FFFFFF" w:themeFill="background1"/>
            <w:vAlign w:val="bottom"/>
            <w:hideMark/>
          </w:tcPr>
          <w:p w14:paraId="15F00874"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w:t>
            </w:r>
          </w:p>
        </w:tc>
        <w:tc>
          <w:tcPr>
            <w:tcW w:w="0" w:type="auto"/>
            <w:shd w:val="clear" w:color="auto" w:fill="FFFFFF" w:themeFill="background1"/>
            <w:vAlign w:val="bottom"/>
            <w:hideMark/>
          </w:tcPr>
          <w:p w14:paraId="3480F839"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w:t>
            </w:r>
          </w:p>
        </w:tc>
        <w:tc>
          <w:tcPr>
            <w:tcW w:w="0" w:type="auto"/>
            <w:shd w:val="clear" w:color="auto" w:fill="FFFFFF" w:themeFill="background1"/>
            <w:vAlign w:val="bottom"/>
            <w:hideMark/>
          </w:tcPr>
          <w:p w14:paraId="52BF7162"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w:t>
            </w:r>
          </w:p>
        </w:tc>
        <w:tc>
          <w:tcPr>
            <w:tcW w:w="0" w:type="auto"/>
            <w:shd w:val="clear" w:color="auto" w:fill="FFFFFF" w:themeFill="background1"/>
            <w:vAlign w:val="bottom"/>
            <w:hideMark/>
          </w:tcPr>
          <w:p w14:paraId="156D8BCE" w14:textId="77777777" w:rsidR="00AA042E" w:rsidRPr="00AA042E" w:rsidRDefault="00AA042E" w:rsidP="00AA042E">
            <w:pPr>
              <w:spacing w:after="0" w:line="240" w:lineRule="auto"/>
              <w:jc w:val="right"/>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8,400</w:t>
            </w:r>
          </w:p>
        </w:tc>
        <w:tc>
          <w:tcPr>
            <w:tcW w:w="0" w:type="auto"/>
            <w:shd w:val="clear" w:color="auto" w:fill="FFFFFF" w:themeFill="background1"/>
            <w:vAlign w:val="bottom"/>
            <w:hideMark/>
          </w:tcPr>
          <w:p w14:paraId="26991117"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w:t>
            </w:r>
          </w:p>
        </w:tc>
      </w:tr>
      <w:tr w:rsidR="00AA042E" w:rsidRPr="00AA042E" w14:paraId="7A3BD2DD" w14:textId="77777777" w:rsidTr="002534CB">
        <w:tc>
          <w:tcPr>
            <w:tcW w:w="0" w:type="auto"/>
            <w:shd w:val="clear" w:color="auto" w:fill="FFFFFF" w:themeFill="background1"/>
            <w:tcMar>
              <w:top w:w="0" w:type="dxa"/>
              <w:left w:w="200" w:type="dxa"/>
              <w:bottom w:w="0" w:type="dxa"/>
              <w:right w:w="0" w:type="dxa"/>
            </w:tcMar>
            <w:vAlign w:val="bottom"/>
            <w:hideMark/>
          </w:tcPr>
          <w:p w14:paraId="55A7F70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Royalty receivable</w:t>
            </w:r>
          </w:p>
        </w:tc>
        <w:tc>
          <w:tcPr>
            <w:tcW w:w="0" w:type="auto"/>
            <w:shd w:val="clear" w:color="auto" w:fill="FFFFFF" w:themeFill="background1"/>
            <w:vAlign w:val="bottom"/>
            <w:hideMark/>
          </w:tcPr>
          <w:p w14:paraId="27BC218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7601AE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CF4F359"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1C2878A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7AA221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4E9E03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B4C3385"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49,344</w:t>
            </w:r>
          </w:p>
        </w:tc>
        <w:tc>
          <w:tcPr>
            <w:tcW w:w="0" w:type="auto"/>
            <w:shd w:val="clear" w:color="auto" w:fill="FFFFFF" w:themeFill="background1"/>
            <w:vAlign w:val="bottom"/>
            <w:hideMark/>
          </w:tcPr>
          <w:p w14:paraId="0561210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568710C4" w14:textId="77777777" w:rsidTr="002534CB">
        <w:tc>
          <w:tcPr>
            <w:tcW w:w="0" w:type="auto"/>
            <w:shd w:val="clear" w:color="auto" w:fill="FFFFFF" w:themeFill="background1"/>
            <w:tcMar>
              <w:top w:w="0" w:type="dxa"/>
              <w:left w:w="200" w:type="dxa"/>
              <w:bottom w:w="0" w:type="dxa"/>
              <w:right w:w="0" w:type="dxa"/>
            </w:tcMar>
            <w:vAlign w:val="bottom"/>
            <w:hideMark/>
          </w:tcPr>
          <w:p w14:paraId="64156EA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Inventory, net</w:t>
            </w:r>
          </w:p>
        </w:tc>
        <w:tc>
          <w:tcPr>
            <w:tcW w:w="0" w:type="auto"/>
            <w:shd w:val="clear" w:color="auto" w:fill="FFFFFF" w:themeFill="background1"/>
            <w:vAlign w:val="bottom"/>
            <w:hideMark/>
          </w:tcPr>
          <w:p w14:paraId="25420A8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19BAAE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BF9088E"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4,229,150</w:t>
            </w:r>
          </w:p>
        </w:tc>
        <w:tc>
          <w:tcPr>
            <w:tcW w:w="0" w:type="auto"/>
            <w:shd w:val="clear" w:color="auto" w:fill="FFFFFF" w:themeFill="background1"/>
            <w:vAlign w:val="bottom"/>
            <w:hideMark/>
          </w:tcPr>
          <w:p w14:paraId="1BCA344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744A25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F15E5C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61D309A"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4,717,533</w:t>
            </w:r>
          </w:p>
        </w:tc>
        <w:tc>
          <w:tcPr>
            <w:tcW w:w="0" w:type="auto"/>
            <w:shd w:val="clear" w:color="auto" w:fill="FFFFFF" w:themeFill="background1"/>
            <w:vAlign w:val="bottom"/>
            <w:hideMark/>
          </w:tcPr>
          <w:p w14:paraId="08DE62F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3631E74B" w14:textId="77777777" w:rsidTr="002534CB">
        <w:tc>
          <w:tcPr>
            <w:tcW w:w="0" w:type="auto"/>
            <w:shd w:val="clear" w:color="auto" w:fill="FFFFFF" w:themeFill="background1"/>
            <w:tcMar>
              <w:top w:w="0" w:type="dxa"/>
              <w:left w:w="200" w:type="dxa"/>
              <w:bottom w:w="30" w:type="dxa"/>
              <w:right w:w="0" w:type="dxa"/>
            </w:tcMar>
            <w:vAlign w:val="bottom"/>
            <w:hideMark/>
          </w:tcPr>
          <w:p w14:paraId="169B1F2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Prepaid and other assets</w:t>
            </w:r>
          </w:p>
        </w:tc>
        <w:tc>
          <w:tcPr>
            <w:tcW w:w="0" w:type="auto"/>
            <w:shd w:val="clear" w:color="auto" w:fill="FFFFFF" w:themeFill="background1"/>
            <w:tcMar>
              <w:top w:w="0" w:type="dxa"/>
              <w:left w:w="0" w:type="dxa"/>
              <w:bottom w:w="30" w:type="dxa"/>
              <w:right w:w="0" w:type="dxa"/>
            </w:tcMar>
            <w:vAlign w:val="bottom"/>
            <w:hideMark/>
          </w:tcPr>
          <w:p w14:paraId="5806B684"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1494CB4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2B466CA2"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911,594</w:t>
            </w:r>
          </w:p>
        </w:tc>
        <w:tc>
          <w:tcPr>
            <w:tcW w:w="0" w:type="auto"/>
            <w:shd w:val="clear" w:color="auto" w:fill="FFFFFF" w:themeFill="background1"/>
            <w:tcMar>
              <w:top w:w="0" w:type="dxa"/>
              <w:left w:w="0" w:type="dxa"/>
              <w:bottom w:w="30" w:type="dxa"/>
              <w:right w:w="0" w:type="dxa"/>
            </w:tcMar>
            <w:vAlign w:val="bottom"/>
            <w:hideMark/>
          </w:tcPr>
          <w:p w14:paraId="47C24B8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03D8819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23F047E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5402949F"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608,411</w:t>
            </w:r>
          </w:p>
        </w:tc>
        <w:tc>
          <w:tcPr>
            <w:tcW w:w="0" w:type="auto"/>
            <w:shd w:val="clear" w:color="auto" w:fill="FFFFFF" w:themeFill="background1"/>
            <w:tcMar>
              <w:top w:w="0" w:type="dxa"/>
              <w:left w:w="0" w:type="dxa"/>
              <w:bottom w:w="30" w:type="dxa"/>
              <w:right w:w="0" w:type="dxa"/>
            </w:tcMar>
            <w:vAlign w:val="bottom"/>
            <w:hideMark/>
          </w:tcPr>
          <w:p w14:paraId="020C8AB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754F33B7" w14:textId="77777777" w:rsidTr="002534CB">
        <w:tc>
          <w:tcPr>
            <w:tcW w:w="0" w:type="auto"/>
            <w:shd w:val="clear" w:color="auto" w:fill="FFFFFF" w:themeFill="background1"/>
            <w:tcMar>
              <w:top w:w="0" w:type="dxa"/>
              <w:left w:w="0" w:type="dxa"/>
              <w:bottom w:w="30" w:type="dxa"/>
              <w:right w:w="0" w:type="dxa"/>
            </w:tcMar>
            <w:vAlign w:val="bottom"/>
            <w:hideMark/>
          </w:tcPr>
          <w:p w14:paraId="3383022A"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Total current assets</w:t>
            </w:r>
          </w:p>
        </w:tc>
        <w:tc>
          <w:tcPr>
            <w:tcW w:w="0" w:type="auto"/>
            <w:shd w:val="clear" w:color="auto" w:fill="FFFFFF" w:themeFill="background1"/>
            <w:tcMar>
              <w:top w:w="0" w:type="dxa"/>
              <w:left w:w="0" w:type="dxa"/>
              <w:bottom w:w="30" w:type="dxa"/>
              <w:right w:w="0" w:type="dxa"/>
            </w:tcMar>
            <w:vAlign w:val="bottom"/>
            <w:hideMark/>
          </w:tcPr>
          <w:p w14:paraId="43F6CE8A"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E5E5055"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333CC2AB"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17,186,779</w:t>
            </w:r>
          </w:p>
        </w:tc>
        <w:tc>
          <w:tcPr>
            <w:tcW w:w="0" w:type="auto"/>
            <w:shd w:val="clear" w:color="auto" w:fill="FFFFFF" w:themeFill="background1"/>
            <w:tcMar>
              <w:top w:w="0" w:type="dxa"/>
              <w:left w:w="0" w:type="dxa"/>
              <w:bottom w:w="30" w:type="dxa"/>
              <w:right w:w="0" w:type="dxa"/>
            </w:tcMar>
            <w:vAlign w:val="bottom"/>
            <w:hideMark/>
          </w:tcPr>
          <w:p w14:paraId="3D04E247"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7F69948E"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107518D4"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77463FA0"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19,005,869</w:t>
            </w:r>
          </w:p>
        </w:tc>
        <w:tc>
          <w:tcPr>
            <w:tcW w:w="0" w:type="auto"/>
            <w:shd w:val="clear" w:color="auto" w:fill="FFFFFF" w:themeFill="background1"/>
            <w:tcMar>
              <w:top w:w="0" w:type="dxa"/>
              <w:left w:w="0" w:type="dxa"/>
              <w:bottom w:w="30" w:type="dxa"/>
              <w:right w:w="0" w:type="dxa"/>
            </w:tcMar>
            <w:vAlign w:val="bottom"/>
            <w:hideMark/>
          </w:tcPr>
          <w:p w14:paraId="5D03C952"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r>
      <w:tr w:rsidR="00AA042E" w:rsidRPr="00AA042E" w14:paraId="00606C8B" w14:textId="77777777" w:rsidTr="002534CB">
        <w:tc>
          <w:tcPr>
            <w:tcW w:w="0" w:type="auto"/>
            <w:shd w:val="clear" w:color="auto" w:fill="FFFFFF" w:themeFill="background1"/>
            <w:vAlign w:val="bottom"/>
            <w:hideMark/>
          </w:tcPr>
          <w:p w14:paraId="7A7FE704"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7CE884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94DEC9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D797766"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7E6868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1C2E5D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CF8674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09F30DC"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62263ED"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763E8686" w14:textId="77777777" w:rsidTr="002534CB">
        <w:tc>
          <w:tcPr>
            <w:tcW w:w="0" w:type="auto"/>
            <w:shd w:val="clear" w:color="auto" w:fill="FFFFFF" w:themeFill="background1"/>
            <w:vAlign w:val="bottom"/>
            <w:hideMark/>
          </w:tcPr>
          <w:p w14:paraId="0E30C420"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Long-term assets</w:t>
            </w:r>
          </w:p>
        </w:tc>
        <w:tc>
          <w:tcPr>
            <w:tcW w:w="0" w:type="auto"/>
            <w:shd w:val="clear" w:color="auto" w:fill="FFFFFF" w:themeFill="background1"/>
            <w:vAlign w:val="bottom"/>
            <w:hideMark/>
          </w:tcPr>
          <w:p w14:paraId="7FE0B8D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B21228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1366716"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F1DB34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17451A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66CAAB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1DCFEED"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62C8D8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1D383A8E" w14:textId="77777777" w:rsidTr="002534CB">
        <w:tc>
          <w:tcPr>
            <w:tcW w:w="0" w:type="auto"/>
            <w:shd w:val="clear" w:color="auto" w:fill="FFFFFF" w:themeFill="background1"/>
            <w:tcMar>
              <w:top w:w="0" w:type="dxa"/>
              <w:left w:w="200" w:type="dxa"/>
              <w:bottom w:w="0" w:type="dxa"/>
              <w:right w:w="0" w:type="dxa"/>
            </w:tcMar>
            <w:vAlign w:val="bottom"/>
            <w:hideMark/>
          </w:tcPr>
          <w:p w14:paraId="57BBC700"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Intangible assets, net</w:t>
            </w:r>
          </w:p>
        </w:tc>
        <w:tc>
          <w:tcPr>
            <w:tcW w:w="0" w:type="auto"/>
            <w:shd w:val="clear" w:color="auto" w:fill="FFFFFF" w:themeFill="background1"/>
            <w:vAlign w:val="bottom"/>
            <w:hideMark/>
          </w:tcPr>
          <w:p w14:paraId="59CE42C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8E5EA0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750A8F4"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43,953,610</w:t>
            </w:r>
          </w:p>
        </w:tc>
        <w:tc>
          <w:tcPr>
            <w:tcW w:w="0" w:type="auto"/>
            <w:shd w:val="clear" w:color="auto" w:fill="FFFFFF" w:themeFill="background1"/>
            <w:vAlign w:val="bottom"/>
            <w:hideMark/>
          </w:tcPr>
          <w:p w14:paraId="3C6E3CE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C2366D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52C7EA0"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7028F2D"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44,926,061</w:t>
            </w:r>
          </w:p>
        </w:tc>
        <w:tc>
          <w:tcPr>
            <w:tcW w:w="0" w:type="auto"/>
            <w:shd w:val="clear" w:color="auto" w:fill="FFFFFF" w:themeFill="background1"/>
            <w:vAlign w:val="bottom"/>
            <w:hideMark/>
          </w:tcPr>
          <w:p w14:paraId="783B7D0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4CD2E11B" w14:textId="77777777" w:rsidTr="002534CB">
        <w:tc>
          <w:tcPr>
            <w:tcW w:w="0" w:type="auto"/>
            <w:shd w:val="clear" w:color="auto" w:fill="FFFFFF" w:themeFill="background1"/>
            <w:tcMar>
              <w:top w:w="0" w:type="dxa"/>
              <w:left w:w="200" w:type="dxa"/>
              <w:bottom w:w="0" w:type="dxa"/>
              <w:right w:w="0" w:type="dxa"/>
            </w:tcMar>
            <w:vAlign w:val="bottom"/>
            <w:hideMark/>
          </w:tcPr>
          <w:p w14:paraId="112B184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Goodwill</w:t>
            </w:r>
          </w:p>
        </w:tc>
        <w:tc>
          <w:tcPr>
            <w:tcW w:w="0" w:type="auto"/>
            <w:shd w:val="clear" w:color="auto" w:fill="FFFFFF" w:themeFill="background1"/>
            <w:vAlign w:val="bottom"/>
            <w:hideMark/>
          </w:tcPr>
          <w:p w14:paraId="3D501D1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578AA0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11FFB54"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3,601,781</w:t>
            </w:r>
          </w:p>
        </w:tc>
        <w:tc>
          <w:tcPr>
            <w:tcW w:w="0" w:type="auto"/>
            <w:shd w:val="clear" w:color="auto" w:fill="FFFFFF" w:themeFill="background1"/>
            <w:vAlign w:val="bottom"/>
            <w:hideMark/>
          </w:tcPr>
          <w:p w14:paraId="02F99A1D"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C9A00C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B1CE5F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EAF9930"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3,601,781</w:t>
            </w:r>
          </w:p>
        </w:tc>
        <w:tc>
          <w:tcPr>
            <w:tcW w:w="0" w:type="auto"/>
            <w:shd w:val="clear" w:color="auto" w:fill="FFFFFF" w:themeFill="background1"/>
            <w:vAlign w:val="bottom"/>
            <w:hideMark/>
          </w:tcPr>
          <w:p w14:paraId="5194998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23E85C77" w14:textId="77777777" w:rsidTr="002534CB">
        <w:tc>
          <w:tcPr>
            <w:tcW w:w="0" w:type="auto"/>
            <w:shd w:val="clear" w:color="auto" w:fill="FFFFFF" w:themeFill="background1"/>
            <w:tcMar>
              <w:top w:w="0" w:type="dxa"/>
              <w:left w:w="200" w:type="dxa"/>
              <w:bottom w:w="0" w:type="dxa"/>
              <w:right w:w="0" w:type="dxa"/>
            </w:tcMar>
            <w:vAlign w:val="bottom"/>
            <w:hideMark/>
          </w:tcPr>
          <w:p w14:paraId="5112957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Investment in equity securities</w:t>
            </w:r>
          </w:p>
        </w:tc>
        <w:tc>
          <w:tcPr>
            <w:tcW w:w="0" w:type="auto"/>
            <w:shd w:val="clear" w:color="auto" w:fill="FFFFFF" w:themeFill="background1"/>
            <w:vAlign w:val="bottom"/>
            <w:hideMark/>
          </w:tcPr>
          <w:p w14:paraId="50FCA2BD"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6FC027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CF6F529"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3,084,278</w:t>
            </w:r>
          </w:p>
        </w:tc>
        <w:tc>
          <w:tcPr>
            <w:tcW w:w="0" w:type="auto"/>
            <w:shd w:val="clear" w:color="auto" w:fill="FFFFFF" w:themeFill="background1"/>
            <w:vAlign w:val="bottom"/>
            <w:hideMark/>
          </w:tcPr>
          <w:p w14:paraId="7927D14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794712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4C5AF6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EE79C4D"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3,084,278</w:t>
            </w:r>
          </w:p>
        </w:tc>
        <w:tc>
          <w:tcPr>
            <w:tcW w:w="0" w:type="auto"/>
            <w:shd w:val="clear" w:color="auto" w:fill="FFFFFF" w:themeFill="background1"/>
            <w:vAlign w:val="bottom"/>
            <w:hideMark/>
          </w:tcPr>
          <w:p w14:paraId="6663F62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0893CC8A" w14:textId="77777777" w:rsidTr="002534CB">
        <w:tc>
          <w:tcPr>
            <w:tcW w:w="0" w:type="auto"/>
            <w:shd w:val="clear" w:color="auto" w:fill="FFFFFF" w:themeFill="background1"/>
            <w:tcMar>
              <w:top w:w="0" w:type="dxa"/>
              <w:left w:w="200" w:type="dxa"/>
              <w:bottom w:w="0" w:type="dxa"/>
              <w:right w:w="0" w:type="dxa"/>
            </w:tcMar>
            <w:vAlign w:val="bottom"/>
            <w:hideMark/>
          </w:tcPr>
          <w:p w14:paraId="2430109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Right of use assets – operating leases</w:t>
            </w:r>
          </w:p>
        </w:tc>
        <w:tc>
          <w:tcPr>
            <w:tcW w:w="0" w:type="auto"/>
            <w:shd w:val="clear" w:color="auto" w:fill="FFFFFF" w:themeFill="background1"/>
            <w:vAlign w:val="bottom"/>
            <w:hideMark/>
          </w:tcPr>
          <w:p w14:paraId="62F8E55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1822F5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A5DF690"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1,894,687</w:t>
            </w:r>
          </w:p>
        </w:tc>
        <w:tc>
          <w:tcPr>
            <w:tcW w:w="0" w:type="auto"/>
            <w:shd w:val="clear" w:color="auto" w:fill="FFFFFF" w:themeFill="background1"/>
            <w:vAlign w:val="bottom"/>
            <w:hideMark/>
          </w:tcPr>
          <w:p w14:paraId="01C8DEBD"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215B16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542C35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D4C96B4"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1,995,204</w:t>
            </w:r>
          </w:p>
        </w:tc>
        <w:tc>
          <w:tcPr>
            <w:tcW w:w="0" w:type="auto"/>
            <w:shd w:val="clear" w:color="auto" w:fill="FFFFFF" w:themeFill="background1"/>
            <w:vAlign w:val="bottom"/>
            <w:hideMark/>
          </w:tcPr>
          <w:p w14:paraId="0E3E56C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0B29BD9B" w14:textId="77777777" w:rsidTr="002534CB">
        <w:tc>
          <w:tcPr>
            <w:tcW w:w="0" w:type="auto"/>
            <w:shd w:val="clear" w:color="auto" w:fill="FFFFFF" w:themeFill="background1"/>
            <w:tcMar>
              <w:top w:w="0" w:type="dxa"/>
              <w:left w:w="200" w:type="dxa"/>
              <w:bottom w:w="30" w:type="dxa"/>
              <w:right w:w="0" w:type="dxa"/>
            </w:tcMar>
            <w:vAlign w:val="bottom"/>
            <w:hideMark/>
          </w:tcPr>
          <w:p w14:paraId="291A7F1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Property and equipment, net</w:t>
            </w:r>
          </w:p>
        </w:tc>
        <w:tc>
          <w:tcPr>
            <w:tcW w:w="0" w:type="auto"/>
            <w:shd w:val="clear" w:color="auto" w:fill="FFFFFF" w:themeFill="background1"/>
            <w:tcMar>
              <w:top w:w="0" w:type="dxa"/>
              <w:left w:w="0" w:type="dxa"/>
              <w:bottom w:w="30" w:type="dxa"/>
              <w:right w:w="0" w:type="dxa"/>
            </w:tcMar>
            <w:vAlign w:val="bottom"/>
            <w:hideMark/>
          </w:tcPr>
          <w:p w14:paraId="788B18C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0B419E2D"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6F5DD3C6"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1,190,805</w:t>
            </w:r>
          </w:p>
        </w:tc>
        <w:tc>
          <w:tcPr>
            <w:tcW w:w="0" w:type="auto"/>
            <w:shd w:val="clear" w:color="auto" w:fill="FFFFFF" w:themeFill="background1"/>
            <w:tcMar>
              <w:top w:w="0" w:type="dxa"/>
              <w:left w:w="0" w:type="dxa"/>
              <w:bottom w:w="30" w:type="dxa"/>
              <w:right w:w="0" w:type="dxa"/>
            </w:tcMar>
            <w:vAlign w:val="bottom"/>
            <w:hideMark/>
          </w:tcPr>
          <w:p w14:paraId="7D92524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716C727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686F5FD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13BCD8FB"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1,257,956</w:t>
            </w:r>
          </w:p>
        </w:tc>
        <w:tc>
          <w:tcPr>
            <w:tcW w:w="0" w:type="auto"/>
            <w:shd w:val="clear" w:color="auto" w:fill="FFFFFF" w:themeFill="background1"/>
            <w:tcMar>
              <w:top w:w="0" w:type="dxa"/>
              <w:left w:w="0" w:type="dxa"/>
              <w:bottom w:w="30" w:type="dxa"/>
              <w:right w:w="0" w:type="dxa"/>
            </w:tcMar>
            <w:vAlign w:val="bottom"/>
            <w:hideMark/>
          </w:tcPr>
          <w:p w14:paraId="4EDCE42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5572D5F1" w14:textId="77777777" w:rsidTr="002534CB">
        <w:tc>
          <w:tcPr>
            <w:tcW w:w="0" w:type="auto"/>
            <w:shd w:val="clear" w:color="auto" w:fill="FFFFFF" w:themeFill="background1"/>
            <w:tcMar>
              <w:top w:w="0" w:type="dxa"/>
              <w:left w:w="0" w:type="dxa"/>
              <w:bottom w:w="30" w:type="dxa"/>
              <w:right w:w="0" w:type="dxa"/>
            </w:tcMar>
            <w:vAlign w:val="bottom"/>
            <w:hideMark/>
          </w:tcPr>
          <w:p w14:paraId="5B5BAC70"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Total long-term assets</w:t>
            </w:r>
          </w:p>
        </w:tc>
        <w:tc>
          <w:tcPr>
            <w:tcW w:w="0" w:type="auto"/>
            <w:shd w:val="clear" w:color="auto" w:fill="FFFFFF" w:themeFill="background1"/>
            <w:tcMar>
              <w:top w:w="0" w:type="dxa"/>
              <w:left w:w="0" w:type="dxa"/>
              <w:bottom w:w="30" w:type="dxa"/>
              <w:right w:w="0" w:type="dxa"/>
            </w:tcMar>
            <w:vAlign w:val="bottom"/>
            <w:hideMark/>
          </w:tcPr>
          <w:p w14:paraId="66F32950"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1984E018"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1995C021"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53,725,161</w:t>
            </w:r>
          </w:p>
        </w:tc>
        <w:tc>
          <w:tcPr>
            <w:tcW w:w="0" w:type="auto"/>
            <w:shd w:val="clear" w:color="auto" w:fill="FFFFFF" w:themeFill="background1"/>
            <w:tcMar>
              <w:top w:w="0" w:type="dxa"/>
              <w:left w:w="0" w:type="dxa"/>
              <w:bottom w:w="30" w:type="dxa"/>
              <w:right w:w="0" w:type="dxa"/>
            </w:tcMar>
            <w:vAlign w:val="bottom"/>
            <w:hideMark/>
          </w:tcPr>
          <w:p w14:paraId="20F86970"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74F1B10C"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7721FE82"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E2DC9D1"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54,865,280</w:t>
            </w:r>
          </w:p>
        </w:tc>
        <w:tc>
          <w:tcPr>
            <w:tcW w:w="0" w:type="auto"/>
            <w:shd w:val="clear" w:color="auto" w:fill="FFFFFF" w:themeFill="background1"/>
            <w:tcMar>
              <w:top w:w="0" w:type="dxa"/>
              <w:left w:w="0" w:type="dxa"/>
              <w:bottom w:w="30" w:type="dxa"/>
              <w:right w:w="0" w:type="dxa"/>
            </w:tcMar>
            <w:vAlign w:val="bottom"/>
            <w:hideMark/>
          </w:tcPr>
          <w:p w14:paraId="6DA45C39"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r>
      <w:tr w:rsidR="00AA042E" w:rsidRPr="00AA042E" w14:paraId="0009B4C1" w14:textId="77777777" w:rsidTr="002534CB">
        <w:tc>
          <w:tcPr>
            <w:tcW w:w="0" w:type="auto"/>
            <w:shd w:val="clear" w:color="auto" w:fill="FFFFFF" w:themeFill="background1"/>
            <w:vAlign w:val="bottom"/>
            <w:hideMark/>
          </w:tcPr>
          <w:p w14:paraId="3186534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9364EC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379A6D4"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D01C7C3"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8597F3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C73740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436BF7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35BA49A"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DC66B2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38352DC9" w14:textId="77777777" w:rsidTr="002534CB">
        <w:tc>
          <w:tcPr>
            <w:tcW w:w="0" w:type="auto"/>
            <w:shd w:val="clear" w:color="auto" w:fill="FFFFFF" w:themeFill="background1"/>
            <w:tcMar>
              <w:top w:w="0" w:type="dxa"/>
              <w:left w:w="0" w:type="dxa"/>
              <w:bottom w:w="50" w:type="dxa"/>
              <w:right w:w="0" w:type="dxa"/>
            </w:tcMar>
            <w:vAlign w:val="bottom"/>
            <w:hideMark/>
          </w:tcPr>
          <w:p w14:paraId="0F67EDB7"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Total assets</w:t>
            </w:r>
          </w:p>
        </w:tc>
        <w:tc>
          <w:tcPr>
            <w:tcW w:w="0" w:type="auto"/>
            <w:shd w:val="clear" w:color="auto" w:fill="FFFFFF" w:themeFill="background1"/>
            <w:tcMar>
              <w:top w:w="0" w:type="dxa"/>
              <w:left w:w="0" w:type="dxa"/>
              <w:bottom w:w="50" w:type="dxa"/>
              <w:right w:w="0" w:type="dxa"/>
            </w:tcMar>
            <w:vAlign w:val="bottom"/>
            <w:hideMark/>
          </w:tcPr>
          <w:p w14:paraId="21172F4B"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double" w:sz="6" w:space="0" w:color="000000"/>
            </w:tcBorders>
            <w:shd w:val="clear" w:color="auto" w:fill="FFFFFF" w:themeFill="background1"/>
            <w:vAlign w:val="bottom"/>
            <w:hideMark/>
          </w:tcPr>
          <w:p w14:paraId="117E1F05"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w:t>
            </w:r>
          </w:p>
        </w:tc>
        <w:tc>
          <w:tcPr>
            <w:tcW w:w="0" w:type="auto"/>
            <w:tcBorders>
              <w:bottom w:val="double" w:sz="6" w:space="0" w:color="000000"/>
            </w:tcBorders>
            <w:shd w:val="clear" w:color="auto" w:fill="FFFFFF" w:themeFill="background1"/>
            <w:vAlign w:val="bottom"/>
            <w:hideMark/>
          </w:tcPr>
          <w:p w14:paraId="2E78AAC1"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70,911,940</w:t>
            </w:r>
          </w:p>
        </w:tc>
        <w:tc>
          <w:tcPr>
            <w:tcW w:w="0" w:type="auto"/>
            <w:shd w:val="clear" w:color="auto" w:fill="FFFFFF" w:themeFill="background1"/>
            <w:tcMar>
              <w:top w:w="0" w:type="dxa"/>
              <w:left w:w="0" w:type="dxa"/>
              <w:bottom w:w="50" w:type="dxa"/>
              <w:right w:w="0" w:type="dxa"/>
            </w:tcMar>
            <w:vAlign w:val="bottom"/>
            <w:hideMark/>
          </w:tcPr>
          <w:p w14:paraId="663B80D5"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50" w:type="dxa"/>
              <w:right w:w="0" w:type="dxa"/>
            </w:tcMar>
            <w:vAlign w:val="bottom"/>
            <w:hideMark/>
          </w:tcPr>
          <w:p w14:paraId="13CA599A"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double" w:sz="6" w:space="0" w:color="000000"/>
            </w:tcBorders>
            <w:shd w:val="clear" w:color="auto" w:fill="FFFFFF" w:themeFill="background1"/>
            <w:vAlign w:val="bottom"/>
            <w:hideMark/>
          </w:tcPr>
          <w:p w14:paraId="54DC23D7"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w:t>
            </w:r>
          </w:p>
        </w:tc>
        <w:tc>
          <w:tcPr>
            <w:tcW w:w="0" w:type="auto"/>
            <w:tcBorders>
              <w:bottom w:val="double" w:sz="6" w:space="0" w:color="000000"/>
            </w:tcBorders>
            <w:shd w:val="clear" w:color="auto" w:fill="FFFFFF" w:themeFill="background1"/>
            <w:vAlign w:val="bottom"/>
            <w:hideMark/>
          </w:tcPr>
          <w:p w14:paraId="1C57C01B"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73,871,149</w:t>
            </w:r>
          </w:p>
        </w:tc>
        <w:tc>
          <w:tcPr>
            <w:tcW w:w="0" w:type="auto"/>
            <w:shd w:val="clear" w:color="auto" w:fill="FFFFFF" w:themeFill="background1"/>
            <w:tcMar>
              <w:top w:w="0" w:type="dxa"/>
              <w:left w:w="0" w:type="dxa"/>
              <w:bottom w:w="50" w:type="dxa"/>
              <w:right w:w="0" w:type="dxa"/>
            </w:tcMar>
            <w:vAlign w:val="bottom"/>
            <w:hideMark/>
          </w:tcPr>
          <w:p w14:paraId="6D718CD8"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r>
      <w:tr w:rsidR="00AA042E" w:rsidRPr="00AA042E" w14:paraId="1EC4F8A7" w14:textId="77777777" w:rsidTr="002534CB">
        <w:tc>
          <w:tcPr>
            <w:tcW w:w="0" w:type="auto"/>
            <w:shd w:val="clear" w:color="auto" w:fill="FFFFFF" w:themeFill="background1"/>
            <w:vAlign w:val="bottom"/>
            <w:hideMark/>
          </w:tcPr>
          <w:p w14:paraId="6B2A407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EF8549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7D24820"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925C599"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91A4D7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11B4BC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F3751A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843981A"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42F1F00"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5EEC8FD0" w14:textId="77777777" w:rsidTr="002534CB">
        <w:tc>
          <w:tcPr>
            <w:tcW w:w="0" w:type="auto"/>
            <w:shd w:val="clear" w:color="auto" w:fill="FFFFFF" w:themeFill="background1"/>
            <w:vAlign w:val="bottom"/>
            <w:hideMark/>
          </w:tcPr>
          <w:p w14:paraId="0583D43F" w14:textId="77777777" w:rsidR="00AA042E" w:rsidRPr="00AA042E" w:rsidRDefault="00AA042E" w:rsidP="00AA042E">
            <w:pPr>
              <w:spacing w:after="0" w:line="240" w:lineRule="auto"/>
              <w:jc w:val="center"/>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Liabilities and shareholders’ equity</w:t>
            </w:r>
          </w:p>
        </w:tc>
        <w:tc>
          <w:tcPr>
            <w:tcW w:w="0" w:type="auto"/>
            <w:shd w:val="clear" w:color="auto" w:fill="FFFFFF" w:themeFill="background1"/>
            <w:vAlign w:val="bottom"/>
            <w:hideMark/>
          </w:tcPr>
          <w:p w14:paraId="2D72237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EC871D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AC50400"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337503D"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C0DFEA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FEEA22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0D0BF5D"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34A27F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37E89536" w14:textId="77777777" w:rsidTr="002534CB">
        <w:tc>
          <w:tcPr>
            <w:tcW w:w="0" w:type="auto"/>
            <w:shd w:val="clear" w:color="auto" w:fill="FFFFFF" w:themeFill="background1"/>
            <w:vAlign w:val="bottom"/>
            <w:hideMark/>
          </w:tcPr>
          <w:p w14:paraId="34561147"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Current liabilities</w:t>
            </w:r>
          </w:p>
        </w:tc>
        <w:tc>
          <w:tcPr>
            <w:tcW w:w="0" w:type="auto"/>
            <w:shd w:val="clear" w:color="auto" w:fill="FFFFFF" w:themeFill="background1"/>
            <w:vAlign w:val="bottom"/>
            <w:hideMark/>
          </w:tcPr>
          <w:p w14:paraId="64E1AE2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0E2F47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DC890EE"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26CDA4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4FF554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2782DB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77F5911"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B88BDDD"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6D39EA1B" w14:textId="77777777" w:rsidTr="002534CB">
        <w:tc>
          <w:tcPr>
            <w:tcW w:w="0" w:type="auto"/>
            <w:shd w:val="clear" w:color="auto" w:fill="FFFFFF" w:themeFill="background1"/>
            <w:tcMar>
              <w:top w:w="0" w:type="dxa"/>
              <w:left w:w="200" w:type="dxa"/>
              <w:bottom w:w="0" w:type="dxa"/>
              <w:right w:w="0" w:type="dxa"/>
            </w:tcMar>
            <w:vAlign w:val="bottom"/>
            <w:hideMark/>
          </w:tcPr>
          <w:p w14:paraId="70B10ED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Accounts payable</w:t>
            </w:r>
          </w:p>
        </w:tc>
        <w:tc>
          <w:tcPr>
            <w:tcW w:w="0" w:type="auto"/>
            <w:shd w:val="clear" w:color="auto" w:fill="FFFFFF" w:themeFill="background1"/>
            <w:vAlign w:val="bottom"/>
            <w:hideMark/>
          </w:tcPr>
          <w:p w14:paraId="5393EA6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C93912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7433B5E4"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1,191,816</w:t>
            </w:r>
          </w:p>
        </w:tc>
        <w:tc>
          <w:tcPr>
            <w:tcW w:w="0" w:type="auto"/>
            <w:shd w:val="clear" w:color="auto" w:fill="FFFFFF" w:themeFill="background1"/>
            <w:vAlign w:val="bottom"/>
            <w:hideMark/>
          </w:tcPr>
          <w:p w14:paraId="7ED5E56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ECFCC0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4D340B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2766CFC0"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1,924,082</w:t>
            </w:r>
          </w:p>
        </w:tc>
        <w:tc>
          <w:tcPr>
            <w:tcW w:w="0" w:type="auto"/>
            <w:shd w:val="clear" w:color="auto" w:fill="FFFFFF" w:themeFill="background1"/>
            <w:vAlign w:val="bottom"/>
            <w:hideMark/>
          </w:tcPr>
          <w:p w14:paraId="2E3CCAB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64DA6DDC" w14:textId="77777777" w:rsidTr="002534CB">
        <w:tc>
          <w:tcPr>
            <w:tcW w:w="0" w:type="auto"/>
            <w:shd w:val="clear" w:color="auto" w:fill="FFFFFF" w:themeFill="background1"/>
            <w:tcMar>
              <w:top w:w="0" w:type="dxa"/>
              <w:left w:w="200" w:type="dxa"/>
              <w:bottom w:w="0" w:type="dxa"/>
              <w:right w:w="0" w:type="dxa"/>
            </w:tcMar>
            <w:vAlign w:val="bottom"/>
            <w:hideMark/>
          </w:tcPr>
          <w:p w14:paraId="61D6F1E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lastRenderedPageBreak/>
              <w:t>Accounts payable – related parties</w:t>
            </w:r>
          </w:p>
        </w:tc>
        <w:tc>
          <w:tcPr>
            <w:tcW w:w="0" w:type="auto"/>
            <w:shd w:val="clear" w:color="auto" w:fill="FFFFFF" w:themeFill="background1"/>
            <w:vAlign w:val="bottom"/>
            <w:hideMark/>
          </w:tcPr>
          <w:p w14:paraId="0E0B6B4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71EA73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E025DA0"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87,116</w:t>
            </w:r>
          </w:p>
        </w:tc>
        <w:tc>
          <w:tcPr>
            <w:tcW w:w="0" w:type="auto"/>
            <w:shd w:val="clear" w:color="auto" w:fill="FFFFFF" w:themeFill="background1"/>
            <w:vAlign w:val="bottom"/>
            <w:hideMark/>
          </w:tcPr>
          <w:p w14:paraId="5BCE78C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AFC1FD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55F5C9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670F27D"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77,805</w:t>
            </w:r>
          </w:p>
        </w:tc>
        <w:tc>
          <w:tcPr>
            <w:tcW w:w="0" w:type="auto"/>
            <w:shd w:val="clear" w:color="auto" w:fill="FFFFFF" w:themeFill="background1"/>
            <w:vAlign w:val="bottom"/>
            <w:hideMark/>
          </w:tcPr>
          <w:p w14:paraId="76137E1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74127F8A" w14:textId="77777777" w:rsidTr="002534CB">
        <w:trPr>
          <w:hidden/>
        </w:trPr>
        <w:tc>
          <w:tcPr>
            <w:tcW w:w="0" w:type="auto"/>
            <w:shd w:val="clear" w:color="auto" w:fill="FFFFFF" w:themeFill="background1"/>
            <w:tcMar>
              <w:top w:w="0" w:type="dxa"/>
              <w:left w:w="200" w:type="dxa"/>
              <w:bottom w:w="0" w:type="dxa"/>
              <w:right w:w="0" w:type="dxa"/>
            </w:tcMar>
            <w:vAlign w:val="bottom"/>
            <w:hideMark/>
          </w:tcPr>
          <w:p w14:paraId="2AB581D7"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xml:space="preserve">Accounts payable </w:t>
            </w:r>
          </w:p>
        </w:tc>
        <w:tc>
          <w:tcPr>
            <w:tcW w:w="0" w:type="auto"/>
            <w:shd w:val="clear" w:color="auto" w:fill="FFFFFF" w:themeFill="background1"/>
            <w:vAlign w:val="bottom"/>
            <w:hideMark/>
          </w:tcPr>
          <w:p w14:paraId="1042E4AF"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w:t>
            </w:r>
          </w:p>
        </w:tc>
        <w:tc>
          <w:tcPr>
            <w:tcW w:w="0" w:type="auto"/>
            <w:shd w:val="clear" w:color="auto" w:fill="FFFFFF" w:themeFill="background1"/>
            <w:vAlign w:val="bottom"/>
            <w:hideMark/>
          </w:tcPr>
          <w:p w14:paraId="714BBD4D"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w:t>
            </w:r>
          </w:p>
        </w:tc>
        <w:tc>
          <w:tcPr>
            <w:tcW w:w="0" w:type="auto"/>
            <w:shd w:val="clear" w:color="auto" w:fill="FFFFFF" w:themeFill="background1"/>
            <w:vAlign w:val="bottom"/>
            <w:hideMark/>
          </w:tcPr>
          <w:p w14:paraId="01AA27DD" w14:textId="77777777" w:rsidR="00AA042E" w:rsidRPr="00AA042E" w:rsidRDefault="00AA042E" w:rsidP="00AA042E">
            <w:pPr>
              <w:spacing w:after="0" w:line="240" w:lineRule="auto"/>
              <w:jc w:val="right"/>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87,116</w:t>
            </w:r>
          </w:p>
        </w:tc>
        <w:tc>
          <w:tcPr>
            <w:tcW w:w="0" w:type="auto"/>
            <w:shd w:val="clear" w:color="auto" w:fill="FFFFFF" w:themeFill="background1"/>
            <w:vAlign w:val="bottom"/>
            <w:hideMark/>
          </w:tcPr>
          <w:p w14:paraId="77C80A8B"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w:t>
            </w:r>
          </w:p>
        </w:tc>
        <w:tc>
          <w:tcPr>
            <w:tcW w:w="0" w:type="auto"/>
            <w:shd w:val="clear" w:color="auto" w:fill="FFFFFF" w:themeFill="background1"/>
            <w:vAlign w:val="bottom"/>
            <w:hideMark/>
          </w:tcPr>
          <w:p w14:paraId="50497EB7"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w:t>
            </w:r>
          </w:p>
        </w:tc>
        <w:tc>
          <w:tcPr>
            <w:tcW w:w="0" w:type="auto"/>
            <w:shd w:val="clear" w:color="auto" w:fill="FFFFFF" w:themeFill="background1"/>
            <w:vAlign w:val="bottom"/>
            <w:hideMark/>
          </w:tcPr>
          <w:p w14:paraId="2E8F2067"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w:t>
            </w:r>
          </w:p>
        </w:tc>
        <w:tc>
          <w:tcPr>
            <w:tcW w:w="0" w:type="auto"/>
            <w:shd w:val="clear" w:color="auto" w:fill="FFFFFF" w:themeFill="background1"/>
            <w:vAlign w:val="bottom"/>
            <w:hideMark/>
          </w:tcPr>
          <w:p w14:paraId="43DAD4CD" w14:textId="77777777" w:rsidR="00AA042E" w:rsidRPr="00AA042E" w:rsidRDefault="00AA042E" w:rsidP="00AA042E">
            <w:pPr>
              <w:spacing w:after="0" w:line="240" w:lineRule="auto"/>
              <w:jc w:val="right"/>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77,805</w:t>
            </w:r>
          </w:p>
        </w:tc>
        <w:tc>
          <w:tcPr>
            <w:tcW w:w="0" w:type="auto"/>
            <w:shd w:val="clear" w:color="auto" w:fill="FFFFFF" w:themeFill="background1"/>
            <w:vAlign w:val="bottom"/>
            <w:hideMark/>
          </w:tcPr>
          <w:p w14:paraId="3D229DF4" w14:textId="77777777" w:rsidR="00AA042E" w:rsidRPr="00AA042E" w:rsidRDefault="00AA042E" w:rsidP="00AA042E">
            <w:pPr>
              <w:spacing w:after="0" w:line="240" w:lineRule="auto"/>
              <w:rPr>
                <w:rFonts w:ascii="Times New Roman" w:eastAsia="Times New Roman" w:hAnsi="Times New Roman" w:cs="Times New Roman"/>
                <w:vanish/>
                <w:sz w:val="20"/>
                <w:szCs w:val="20"/>
                <w:lang w:bidi="ta-IN"/>
              </w:rPr>
            </w:pPr>
            <w:r w:rsidRPr="00AA042E">
              <w:rPr>
                <w:rFonts w:ascii="Times New Roman" w:eastAsia="Times New Roman" w:hAnsi="Times New Roman" w:cs="Times New Roman"/>
                <w:vanish/>
                <w:sz w:val="20"/>
                <w:szCs w:val="20"/>
                <w:lang w:bidi="ta-IN"/>
              </w:rPr>
              <w:t> </w:t>
            </w:r>
          </w:p>
        </w:tc>
      </w:tr>
      <w:tr w:rsidR="00AA042E" w:rsidRPr="00AA042E" w14:paraId="59F69C28" w14:textId="77777777" w:rsidTr="002534CB">
        <w:tc>
          <w:tcPr>
            <w:tcW w:w="0" w:type="auto"/>
            <w:shd w:val="clear" w:color="auto" w:fill="FFFFFF" w:themeFill="background1"/>
            <w:tcMar>
              <w:top w:w="0" w:type="dxa"/>
              <w:left w:w="200" w:type="dxa"/>
              <w:bottom w:w="0" w:type="dxa"/>
              <w:right w:w="0" w:type="dxa"/>
            </w:tcMar>
            <w:vAlign w:val="bottom"/>
            <w:hideMark/>
          </w:tcPr>
          <w:p w14:paraId="04B3D28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Accrued bonuses and commissions</w:t>
            </w:r>
          </w:p>
        </w:tc>
        <w:tc>
          <w:tcPr>
            <w:tcW w:w="0" w:type="auto"/>
            <w:shd w:val="clear" w:color="auto" w:fill="FFFFFF" w:themeFill="background1"/>
            <w:vAlign w:val="bottom"/>
            <w:hideMark/>
          </w:tcPr>
          <w:p w14:paraId="01A09FED"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A23E58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E28EF6B"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6,893,381</w:t>
            </w:r>
          </w:p>
        </w:tc>
        <w:tc>
          <w:tcPr>
            <w:tcW w:w="0" w:type="auto"/>
            <w:shd w:val="clear" w:color="auto" w:fill="FFFFFF" w:themeFill="background1"/>
            <w:vAlign w:val="bottom"/>
            <w:hideMark/>
          </w:tcPr>
          <w:p w14:paraId="2375A18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2C22BA4"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E111D3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19B898D"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7,676,770</w:t>
            </w:r>
          </w:p>
        </w:tc>
        <w:tc>
          <w:tcPr>
            <w:tcW w:w="0" w:type="auto"/>
            <w:shd w:val="clear" w:color="auto" w:fill="FFFFFF" w:themeFill="background1"/>
            <w:vAlign w:val="bottom"/>
            <w:hideMark/>
          </w:tcPr>
          <w:p w14:paraId="16F8984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073D3A11" w14:textId="77777777" w:rsidTr="002534CB">
        <w:tc>
          <w:tcPr>
            <w:tcW w:w="0" w:type="auto"/>
            <w:shd w:val="clear" w:color="auto" w:fill="FFFFFF" w:themeFill="background1"/>
            <w:tcMar>
              <w:top w:w="0" w:type="dxa"/>
              <w:left w:w="200" w:type="dxa"/>
              <w:bottom w:w="0" w:type="dxa"/>
              <w:right w:w="0" w:type="dxa"/>
            </w:tcMar>
            <w:vAlign w:val="bottom"/>
            <w:hideMark/>
          </w:tcPr>
          <w:p w14:paraId="64D1857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Accrued royalties and expenses</w:t>
            </w:r>
          </w:p>
        </w:tc>
        <w:tc>
          <w:tcPr>
            <w:tcW w:w="0" w:type="auto"/>
            <w:shd w:val="clear" w:color="auto" w:fill="FFFFFF" w:themeFill="background1"/>
            <w:vAlign w:val="bottom"/>
            <w:hideMark/>
          </w:tcPr>
          <w:p w14:paraId="54FB203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110D2D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D74BC7F"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2,288,428</w:t>
            </w:r>
          </w:p>
        </w:tc>
        <w:tc>
          <w:tcPr>
            <w:tcW w:w="0" w:type="auto"/>
            <w:shd w:val="clear" w:color="auto" w:fill="FFFFFF" w:themeFill="background1"/>
            <w:vAlign w:val="bottom"/>
            <w:hideMark/>
          </w:tcPr>
          <w:p w14:paraId="427037C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619308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F6867D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3647C0C"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2,047,678</w:t>
            </w:r>
          </w:p>
        </w:tc>
        <w:tc>
          <w:tcPr>
            <w:tcW w:w="0" w:type="auto"/>
            <w:shd w:val="clear" w:color="auto" w:fill="FFFFFF" w:themeFill="background1"/>
            <w:vAlign w:val="bottom"/>
            <w:hideMark/>
          </w:tcPr>
          <w:p w14:paraId="10F7A33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0D5B7DA4" w14:textId="77777777" w:rsidTr="002534CB">
        <w:tc>
          <w:tcPr>
            <w:tcW w:w="0" w:type="auto"/>
            <w:shd w:val="clear" w:color="auto" w:fill="FFFFFF" w:themeFill="background1"/>
            <w:tcMar>
              <w:top w:w="0" w:type="dxa"/>
              <w:left w:w="200" w:type="dxa"/>
              <w:bottom w:w="0" w:type="dxa"/>
              <w:right w:w="0" w:type="dxa"/>
            </w:tcMar>
            <w:vAlign w:val="bottom"/>
            <w:hideMark/>
          </w:tcPr>
          <w:p w14:paraId="52E963C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Earnout liabilities – current</w:t>
            </w:r>
          </w:p>
        </w:tc>
        <w:tc>
          <w:tcPr>
            <w:tcW w:w="0" w:type="auto"/>
            <w:shd w:val="clear" w:color="auto" w:fill="FFFFFF" w:themeFill="background1"/>
            <w:vAlign w:val="bottom"/>
            <w:hideMark/>
          </w:tcPr>
          <w:p w14:paraId="5EA5E60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D770D8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B4F1CEE"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979,488</w:t>
            </w:r>
          </w:p>
        </w:tc>
        <w:tc>
          <w:tcPr>
            <w:tcW w:w="0" w:type="auto"/>
            <w:shd w:val="clear" w:color="auto" w:fill="FFFFFF" w:themeFill="background1"/>
            <w:vAlign w:val="bottom"/>
            <w:hideMark/>
          </w:tcPr>
          <w:p w14:paraId="2515C05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E80700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05736C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CDE4A64"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1,100,000</w:t>
            </w:r>
          </w:p>
        </w:tc>
        <w:tc>
          <w:tcPr>
            <w:tcW w:w="0" w:type="auto"/>
            <w:shd w:val="clear" w:color="auto" w:fill="FFFFFF" w:themeFill="background1"/>
            <w:vAlign w:val="bottom"/>
            <w:hideMark/>
          </w:tcPr>
          <w:p w14:paraId="16D891B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6EDBBECE" w14:textId="77777777" w:rsidTr="002534CB">
        <w:tc>
          <w:tcPr>
            <w:tcW w:w="0" w:type="auto"/>
            <w:shd w:val="clear" w:color="auto" w:fill="FFFFFF" w:themeFill="background1"/>
            <w:tcMar>
              <w:top w:w="0" w:type="dxa"/>
              <w:left w:w="200" w:type="dxa"/>
              <w:bottom w:w="0" w:type="dxa"/>
              <w:right w:w="0" w:type="dxa"/>
            </w:tcMar>
            <w:vAlign w:val="bottom"/>
            <w:hideMark/>
          </w:tcPr>
          <w:p w14:paraId="09EFB3B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Current portion of debt</w:t>
            </w:r>
          </w:p>
        </w:tc>
        <w:tc>
          <w:tcPr>
            <w:tcW w:w="0" w:type="auto"/>
            <w:shd w:val="clear" w:color="auto" w:fill="FFFFFF" w:themeFill="background1"/>
            <w:vAlign w:val="bottom"/>
            <w:hideMark/>
          </w:tcPr>
          <w:p w14:paraId="4BCEB46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3EC628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E8BF5CF"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928,571</w:t>
            </w:r>
          </w:p>
        </w:tc>
        <w:tc>
          <w:tcPr>
            <w:tcW w:w="0" w:type="auto"/>
            <w:shd w:val="clear" w:color="auto" w:fill="FFFFFF" w:themeFill="background1"/>
            <w:vAlign w:val="bottom"/>
            <w:hideMark/>
          </w:tcPr>
          <w:p w14:paraId="4A61E53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8A3086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185612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4EE09C9"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580,357</w:t>
            </w:r>
          </w:p>
        </w:tc>
        <w:tc>
          <w:tcPr>
            <w:tcW w:w="0" w:type="auto"/>
            <w:shd w:val="clear" w:color="auto" w:fill="FFFFFF" w:themeFill="background1"/>
            <w:vAlign w:val="bottom"/>
            <w:hideMark/>
          </w:tcPr>
          <w:p w14:paraId="7AFA495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3CFA1D5E" w14:textId="77777777" w:rsidTr="002534CB">
        <w:tc>
          <w:tcPr>
            <w:tcW w:w="0" w:type="auto"/>
            <w:shd w:val="clear" w:color="auto" w:fill="FFFFFF" w:themeFill="background1"/>
            <w:tcMar>
              <w:top w:w="0" w:type="dxa"/>
              <w:left w:w="200" w:type="dxa"/>
              <w:bottom w:w="30" w:type="dxa"/>
              <w:right w:w="0" w:type="dxa"/>
            </w:tcMar>
            <w:vAlign w:val="bottom"/>
            <w:hideMark/>
          </w:tcPr>
          <w:p w14:paraId="7F33D3F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Operating lease liabilities – current</w:t>
            </w:r>
          </w:p>
        </w:tc>
        <w:tc>
          <w:tcPr>
            <w:tcW w:w="0" w:type="auto"/>
            <w:shd w:val="clear" w:color="auto" w:fill="FFFFFF" w:themeFill="background1"/>
            <w:tcMar>
              <w:top w:w="0" w:type="dxa"/>
              <w:left w:w="0" w:type="dxa"/>
              <w:bottom w:w="30" w:type="dxa"/>
              <w:right w:w="0" w:type="dxa"/>
            </w:tcMar>
            <w:vAlign w:val="bottom"/>
            <w:hideMark/>
          </w:tcPr>
          <w:p w14:paraId="02571FD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636E549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1AB06055"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377,273</w:t>
            </w:r>
          </w:p>
        </w:tc>
        <w:tc>
          <w:tcPr>
            <w:tcW w:w="0" w:type="auto"/>
            <w:shd w:val="clear" w:color="auto" w:fill="FFFFFF" w:themeFill="background1"/>
            <w:tcMar>
              <w:top w:w="0" w:type="dxa"/>
              <w:left w:w="0" w:type="dxa"/>
              <w:bottom w:w="30" w:type="dxa"/>
              <w:right w:w="0" w:type="dxa"/>
            </w:tcMar>
            <w:vAlign w:val="bottom"/>
            <w:hideMark/>
          </w:tcPr>
          <w:p w14:paraId="7B6C52D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05B2607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272B79C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49EC1BF0"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361,185</w:t>
            </w:r>
          </w:p>
        </w:tc>
        <w:tc>
          <w:tcPr>
            <w:tcW w:w="0" w:type="auto"/>
            <w:shd w:val="clear" w:color="auto" w:fill="FFFFFF" w:themeFill="background1"/>
            <w:tcMar>
              <w:top w:w="0" w:type="dxa"/>
              <w:left w:w="0" w:type="dxa"/>
              <w:bottom w:w="30" w:type="dxa"/>
              <w:right w:w="0" w:type="dxa"/>
            </w:tcMar>
            <w:vAlign w:val="bottom"/>
            <w:hideMark/>
          </w:tcPr>
          <w:p w14:paraId="01F8B310"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1C68ABC1" w14:textId="77777777" w:rsidTr="002534CB">
        <w:tc>
          <w:tcPr>
            <w:tcW w:w="0" w:type="auto"/>
            <w:shd w:val="clear" w:color="auto" w:fill="FFFFFF" w:themeFill="background1"/>
            <w:tcMar>
              <w:top w:w="0" w:type="dxa"/>
              <w:left w:w="0" w:type="dxa"/>
              <w:bottom w:w="30" w:type="dxa"/>
              <w:right w:w="0" w:type="dxa"/>
            </w:tcMar>
            <w:vAlign w:val="bottom"/>
            <w:hideMark/>
          </w:tcPr>
          <w:p w14:paraId="62456D99"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Total current liabilities</w:t>
            </w:r>
          </w:p>
        </w:tc>
        <w:tc>
          <w:tcPr>
            <w:tcW w:w="0" w:type="auto"/>
            <w:shd w:val="clear" w:color="auto" w:fill="FFFFFF" w:themeFill="background1"/>
            <w:tcMar>
              <w:top w:w="0" w:type="dxa"/>
              <w:left w:w="0" w:type="dxa"/>
              <w:bottom w:w="30" w:type="dxa"/>
              <w:right w:w="0" w:type="dxa"/>
            </w:tcMar>
            <w:vAlign w:val="bottom"/>
            <w:hideMark/>
          </w:tcPr>
          <w:p w14:paraId="1C8A7E3F"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0819ED70"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5B69E27"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12,746,073</w:t>
            </w:r>
          </w:p>
        </w:tc>
        <w:tc>
          <w:tcPr>
            <w:tcW w:w="0" w:type="auto"/>
            <w:shd w:val="clear" w:color="auto" w:fill="FFFFFF" w:themeFill="background1"/>
            <w:tcMar>
              <w:top w:w="0" w:type="dxa"/>
              <w:left w:w="0" w:type="dxa"/>
              <w:bottom w:w="30" w:type="dxa"/>
              <w:right w:w="0" w:type="dxa"/>
            </w:tcMar>
            <w:vAlign w:val="bottom"/>
            <w:hideMark/>
          </w:tcPr>
          <w:p w14:paraId="29DE2E6A"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4BA74FBB"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CAA8DC0"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60CF044"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13,767,877</w:t>
            </w:r>
          </w:p>
        </w:tc>
        <w:tc>
          <w:tcPr>
            <w:tcW w:w="0" w:type="auto"/>
            <w:shd w:val="clear" w:color="auto" w:fill="FFFFFF" w:themeFill="background1"/>
            <w:tcMar>
              <w:top w:w="0" w:type="dxa"/>
              <w:left w:w="0" w:type="dxa"/>
              <w:bottom w:w="30" w:type="dxa"/>
              <w:right w:w="0" w:type="dxa"/>
            </w:tcMar>
            <w:vAlign w:val="bottom"/>
            <w:hideMark/>
          </w:tcPr>
          <w:p w14:paraId="196A41BD"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r>
      <w:tr w:rsidR="00AA042E" w:rsidRPr="00AA042E" w14:paraId="544168F9" w14:textId="77777777" w:rsidTr="002534CB">
        <w:tc>
          <w:tcPr>
            <w:tcW w:w="0" w:type="auto"/>
            <w:shd w:val="clear" w:color="auto" w:fill="FFFFFF" w:themeFill="background1"/>
            <w:vAlign w:val="bottom"/>
            <w:hideMark/>
          </w:tcPr>
          <w:p w14:paraId="7691D88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42C0BC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8CCCA9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38552B5"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CC2BEA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618B86D"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D680A6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B65202F"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1909F6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72279F44" w14:textId="77777777" w:rsidTr="002534CB">
        <w:tc>
          <w:tcPr>
            <w:tcW w:w="0" w:type="auto"/>
            <w:shd w:val="clear" w:color="auto" w:fill="FFFFFF" w:themeFill="background1"/>
            <w:vAlign w:val="bottom"/>
            <w:hideMark/>
          </w:tcPr>
          <w:p w14:paraId="6C64F7D7"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Long-term liabilities</w:t>
            </w:r>
          </w:p>
        </w:tc>
        <w:tc>
          <w:tcPr>
            <w:tcW w:w="0" w:type="auto"/>
            <w:shd w:val="clear" w:color="auto" w:fill="FFFFFF" w:themeFill="background1"/>
            <w:vAlign w:val="bottom"/>
            <w:hideMark/>
          </w:tcPr>
          <w:p w14:paraId="7884D5B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B07827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A24862B"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63BD3E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03DD65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F544D4D"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0265551"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9A3F62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2D1FF8F6" w14:textId="77777777" w:rsidTr="002534CB">
        <w:tc>
          <w:tcPr>
            <w:tcW w:w="0" w:type="auto"/>
            <w:shd w:val="clear" w:color="auto" w:fill="FFFFFF" w:themeFill="background1"/>
            <w:tcMar>
              <w:top w:w="0" w:type="dxa"/>
              <w:left w:w="200" w:type="dxa"/>
              <w:bottom w:w="0" w:type="dxa"/>
              <w:right w:w="0" w:type="dxa"/>
            </w:tcMar>
            <w:vAlign w:val="bottom"/>
            <w:hideMark/>
          </w:tcPr>
          <w:p w14:paraId="7515F720"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Long-term debt, net of current portion</w:t>
            </w:r>
          </w:p>
        </w:tc>
        <w:tc>
          <w:tcPr>
            <w:tcW w:w="0" w:type="auto"/>
            <w:shd w:val="clear" w:color="auto" w:fill="FFFFFF" w:themeFill="background1"/>
            <w:vAlign w:val="bottom"/>
            <w:hideMark/>
          </w:tcPr>
          <w:p w14:paraId="66B6778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114DF2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8C16B81"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8,767,991</w:t>
            </w:r>
          </w:p>
        </w:tc>
        <w:tc>
          <w:tcPr>
            <w:tcW w:w="0" w:type="auto"/>
            <w:shd w:val="clear" w:color="auto" w:fill="FFFFFF" w:themeFill="background1"/>
            <w:vAlign w:val="bottom"/>
            <w:hideMark/>
          </w:tcPr>
          <w:p w14:paraId="4F45FE4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B386A34"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E4F39D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06AA4A0"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9,113,123</w:t>
            </w:r>
          </w:p>
        </w:tc>
        <w:tc>
          <w:tcPr>
            <w:tcW w:w="0" w:type="auto"/>
            <w:shd w:val="clear" w:color="auto" w:fill="FFFFFF" w:themeFill="background1"/>
            <w:vAlign w:val="bottom"/>
            <w:hideMark/>
          </w:tcPr>
          <w:p w14:paraId="263A7ED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0CDBE0D2" w14:textId="77777777" w:rsidTr="002534CB">
        <w:tc>
          <w:tcPr>
            <w:tcW w:w="0" w:type="auto"/>
            <w:shd w:val="clear" w:color="auto" w:fill="FFFFFF" w:themeFill="background1"/>
            <w:tcMar>
              <w:top w:w="0" w:type="dxa"/>
              <w:left w:w="200" w:type="dxa"/>
              <w:bottom w:w="0" w:type="dxa"/>
              <w:right w:w="0" w:type="dxa"/>
            </w:tcMar>
            <w:vAlign w:val="bottom"/>
            <w:hideMark/>
          </w:tcPr>
          <w:p w14:paraId="3E9EB17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Earnout liabilities – long-term</w:t>
            </w:r>
          </w:p>
        </w:tc>
        <w:tc>
          <w:tcPr>
            <w:tcW w:w="0" w:type="auto"/>
            <w:shd w:val="clear" w:color="auto" w:fill="FFFFFF" w:themeFill="background1"/>
            <w:vAlign w:val="bottom"/>
            <w:hideMark/>
          </w:tcPr>
          <w:p w14:paraId="690AC944"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DD827E4"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87F4F23"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2,777,835</w:t>
            </w:r>
          </w:p>
        </w:tc>
        <w:tc>
          <w:tcPr>
            <w:tcW w:w="0" w:type="auto"/>
            <w:shd w:val="clear" w:color="auto" w:fill="FFFFFF" w:themeFill="background1"/>
            <w:vAlign w:val="bottom"/>
            <w:hideMark/>
          </w:tcPr>
          <w:p w14:paraId="570BCE7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AFCF33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50B571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F195D48"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2,723,001</w:t>
            </w:r>
          </w:p>
        </w:tc>
        <w:tc>
          <w:tcPr>
            <w:tcW w:w="0" w:type="auto"/>
            <w:shd w:val="clear" w:color="auto" w:fill="FFFFFF" w:themeFill="background1"/>
            <w:vAlign w:val="bottom"/>
            <w:hideMark/>
          </w:tcPr>
          <w:p w14:paraId="7B1C6F04"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7265B152" w14:textId="77777777" w:rsidTr="002534CB">
        <w:tc>
          <w:tcPr>
            <w:tcW w:w="0" w:type="auto"/>
            <w:shd w:val="clear" w:color="auto" w:fill="FFFFFF" w:themeFill="background1"/>
            <w:tcMar>
              <w:top w:w="0" w:type="dxa"/>
              <w:left w:w="200" w:type="dxa"/>
              <w:bottom w:w="0" w:type="dxa"/>
              <w:right w:w="0" w:type="dxa"/>
            </w:tcMar>
            <w:vAlign w:val="bottom"/>
            <w:hideMark/>
          </w:tcPr>
          <w:p w14:paraId="6A4C8F3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Operating lease liabilities – long-term</w:t>
            </w:r>
          </w:p>
        </w:tc>
        <w:tc>
          <w:tcPr>
            <w:tcW w:w="0" w:type="auto"/>
            <w:shd w:val="clear" w:color="auto" w:fill="FFFFFF" w:themeFill="background1"/>
            <w:vAlign w:val="bottom"/>
            <w:hideMark/>
          </w:tcPr>
          <w:p w14:paraId="161EE9E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B0104B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11F7FC2"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1,626,130</w:t>
            </w:r>
          </w:p>
        </w:tc>
        <w:tc>
          <w:tcPr>
            <w:tcW w:w="0" w:type="auto"/>
            <w:shd w:val="clear" w:color="auto" w:fill="FFFFFF" w:themeFill="background1"/>
            <w:vAlign w:val="bottom"/>
            <w:hideMark/>
          </w:tcPr>
          <w:p w14:paraId="2074F8B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2754F2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96A757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42A32F2"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1,737,445</w:t>
            </w:r>
          </w:p>
        </w:tc>
        <w:tc>
          <w:tcPr>
            <w:tcW w:w="0" w:type="auto"/>
            <w:shd w:val="clear" w:color="auto" w:fill="FFFFFF" w:themeFill="background1"/>
            <w:vAlign w:val="bottom"/>
            <w:hideMark/>
          </w:tcPr>
          <w:p w14:paraId="11F1556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621C1DFE" w14:textId="77777777" w:rsidTr="002534CB">
        <w:tc>
          <w:tcPr>
            <w:tcW w:w="0" w:type="auto"/>
            <w:shd w:val="clear" w:color="auto" w:fill="FFFFFF" w:themeFill="background1"/>
            <w:tcMar>
              <w:top w:w="0" w:type="dxa"/>
              <w:left w:w="200" w:type="dxa"/>
              <w:bottom w:w="30" w:type="dxa"/>
              <w:right w:w="0" w:type="dxa"/>
            </w:tcMar>
            <w:vAlign w:val="bottom"/>
            <w:hideMark/>
          </w:tcPr>
          <w:p w14:paraId="4250886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Other long-term liabilities</w:t>
            </w:r>
          </w:p>
        </w:tc>
        <w:tc>
          <w:tcPr>
            <w:tcW w:w="0" w:type="auto"/>
            <w:shd w:val="clear" w:color="auto" w:fill="FFFFFF" w:themeFill="background1"/>
            <w:tcMar>
              <w:top w:w="0" w:type="dxa"/>
              <w:left w:w="0" w:type="dxa"/>
              <w:bottom w:w="30" w:type="dxa"/>
              <w:right w:w="0" w:type="dxa"/>
            </w:tcMar>
            <w:vAlign w:val="bottom"/>
            <w:hideMark/>
          </w:tcPr>
          <w:p w14:paraId="268CD92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0473F7A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6FEF8705"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1,982,345</w:t>
            </w:r>
          </w:p>
        </w:tc>
        <w:tc>
          <w:tcPr>
            <w:tcW w:w="0" w:type="auto"/>
            <w:shd w:val="clear" w:color="auto" w:fill="FFFFFF" w:themeFill="background1"/>
            <w:tcMar>
              <w:top w:w="0" w:type="dxa"/>
              <w:left w:w="0" w:type="dxa"/>
              <w:bottom w:w="30" w:type="dxa"/>
              <w:right w:w="0" w:type="dxa"/>
            </w:tcMar>
            <w:vAlign w:val="bottom"/>
            <w:hideMark/>
          </w:tcPr>
          <w:p w14:paraId="531BB91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69994F6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3987C8E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29343A3D"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1,941,686</w:t>
            </w:r>
          </w:p>
        </w:tc>
        <w:tc>
          <w:tcPr>
            <w:tcW w:w="0" w:type="auto"/>
            <w:shd w:val="clear" w:color="auto" w:fill="FFFFFF" w:themeFill="background1"/>
            <w:tcMar>
              <w:top w:w="0" w:type="dxa"/>
              <w:left w:w="0" w:type="dxa"/>
              <w:bottom w:w="30" w:type="dxa"/>
              <w:right w:w="0" w:type="dxa"/>
            </w:tcMar>
            <w:vAlign w:val="bottom"/>
            <w:hideMark/>
          </w:tcPr>
          <w:p w14:paraId="53AAFF9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0CFD3FF3" w14:textId="77777777" w:rsidTr="002534CB">
        <w:tc>
          <w:tcPr>
            <w:tcW w:w="0" w:type="auto"/>
            <w:shd w:val="clear" w:color="auto" w:fill="FFFFFF" w:themeFill="background1"/>
            <w:tcMar>
              <w:top w:w="0" w:type="dxa"/>
              <w:left w:w="0" w:type="dxa"/>
              <w:bottom w:w="30" w:type="dxa"/>
              <w:right w:w="0" w:type="dxa"/>
            </w:tcMar>
            <w:vAlign w:val="bottom"/>
            <w:hideMark/>
          </w:tcPr>
          <w:p w14:paraId="6BB786D1"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Total long-term liabilities</w:t>
            </w:r>
          </w:p>
        </w:tc>
        <w:tc>
          <w:tcPr>
            <w:tcW w:w="0" w:type="auto"/>
            <w:shd w:val="clear" w:color="auto" w:fill="FFFFFF" w:themeFill="background1"/>
            <w:tcMar>
              <w:top w:w="0" w:type="dxa"/>
              <w:left w:w="0" w:type="dxa"/>
              <w:bottom w:w="30" w:type="dxa"/>
              <w:right w:w="0" w:type="dxa"/>
            </w:tcMar>
            <w:vAlign w:val="bottom"/>
            <w:hideMark/>
          </w:tcPr>
          <w:p w14:paraId="7ABBEF31"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16D420F7"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3016870"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15,154,301</w:t>
            </w:r>
          </w:p>
        </w:tc>
        <w:tc>
          <w:tcPr>
            <w:tcW w:w="0" w:type="auto"/>
            <w:shd w:val="clear" w:color="auto" w:fill="FFFFFF" w:themeFill="background1"/>
            <w:tcMar>
              <w:top w:w="0" w:type="dxa"/>
              <w:left w:w="0" w:type="dxa"/>
              <w:bottom w:w="30" w:type="dxa"/>
              <w:right w:w="0" w:type="dxa"/>
            </w:tcMar>
            <w:vAlign w:val="bottom"/>
            <w:hideMark/>
          </w:tcPr>
          <w:p w14:paraId="4810802E"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3C124957"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24946646"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C2452D5"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15,515,255</w:t>
            </w:r>
          </w:p>
        </w:tc>
        <w:tc>
          <w:tcPr>
            <w:tcW w:w="0" w:type="auto"/>
            <w:shd w:val="clear" w:color="auto" w:fill="FFFFFF" w:themeFill="background1"/>
            <w:tcMar>
              <w:top w:w="0" w:type="dxa"/>
              <w:left w:w="0" w:type="dxa"/>
              <w:bottom w:w="30" w:type="dxa"/>
              <w:right w:w="0" w:type="dxa"/>
            </w:tcMar>
            <w:vAlign w:val="bottom"/>
            <w:hideMark/>
          </w:tcPr>
          <w:p w14:paraId="488AB98D"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r>
      <w:tr w:rsidR="00AA042E" w:rsidRPr="00AA042E" w14:paraId="7BF8260A" w14:textId="77777777" w:rsidTr="002534CB">
        <w:tc>
          <w:tcPr>
            <w:tcW w:w="0" w:type="auto"/>
            <w:shd w:val="clear" w:color="auto" w:fill="FFFFFF" w:themeFill="background1"/>
            <w:vAlign w:val="bottom"/>
            <w:hideMark/>
          </w:tcPr>
          <w:p w14:paraId="6A8B0C1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35ACA4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D0E16E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09155FD"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29C9C10"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D1BBA6C"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BCBAC4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F9E32D6"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310F0F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26B789D2" w14:textId="77777777" w:rsidTr="002534CB">
        <w:tc>
          <w:tcPr>
            <w:tcW w:w="0" w:type="auto"/>
            <w:shd w:val="clear" w:color="auto" w:fill="FFFFFF" w:themeFill="background1"/>
            <w:tcMar>
              <w:top w:w="0" w:type="dxa"/>
              <w:left w:w="0" w:type="dxa"/>
              <w:bottom w:w="30" w:type="dxa"/>
              <w:right w:w="0" w:type="dxa"/>
            </w:tcMar>
            <w:vAlign w:val="bottom"/>
            <w:hideMark/>
          </w:tcPr>
          <w:p w14:paraId="79D83B53"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Total liabilities</w:t>
            </w:r>
          </w:p>
        </w:tc>
        <w:tc>
          <w:tcPr>
            <w:tcW w:w="0" w:type="auto"/>
            <w:shd w:val="clear" w:color="auto" w:fill="FFFFFF" w:themeFill="background1"/>
            <w:tcMar>
              <w:top w:w="0" w:type="dxa"/>
              <w:left w:w="0" w:type="dxa"/>
              <w:bottom w:w="30" w:type="dxa"/>
              <w:right w:w="0" w:type="dxa"/>
            </w:tcMar>
            <w:vAlign w:val="bottom"/>
            <w:hideMark/>
          </w:tcPr>
          <w:p w14:paraId="7768DC5B"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0CDA7CFB"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34F96EA5"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27,900,374</w:t>
            </w:r>
          </w:p>
        </w:tc>
        <w:tc>
          <w:tcPr>
            <w:tcW w:w="0" w:type="auto"/>
            <w:shd w:val="clear" w:color="auto" w:fill="FFFFFF" w:themeFill="background1"/>
            <w:tcMar>
              <w:top w:w="0" w:type="dxa"/>
              <w:left w:w="0" w:type="dxa"/>
              <w:bottom w:w="30" w:type="dxa"/>
              <w:right w:w="0" w:type="dxa"/>
            </w:tcMar>
            <w:vAlign w:val="bottom"/>
            <w:hideMark/>
          </w:tcPr>
          <w:p w14:paraId="60167207"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58215853"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12464391"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2C9ADC3B"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29,283,132</w:t>
            </w:r>
          </w:p>
        </w:tc>
        <w:tc>
          <w:tcPr>
            <w:tcW w:w="0" w:type="auto"/>
            <w:shd w:val="clear" w:color="auto" w:fill="FFFFFF" w:themeFill="background1"/>
            <w:tcMar>
              <w:top w:w="0" w:type="dxa"/>
              <w:left w:w="0" w:type="dxa"/>
              <w:bottom w:w="30" w:type="dxa"/>
              <w:right w:w="0" w:type="dxa"/>
            </w:tcMar>
            <w:vAlign w:val="bottom"/>
            <w:hideMark/>
          </w:tcPr>
          <w:p w14:paraId="4BFF9302"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r>
      <w:tr w:rsidR="00AA042E" w:rsidRPr="00AA042E" w14:paraId="065D9C02" w14:textId="77777777" w:rsidTr="002534CB">
        <w:tc>
          <w:tcPr>
            <w:tcW w:w="0" w:type="auto"/>
            <w:shd w:val="clear" w:color="auto" w:fill="FFFFFF" w:themeFill="background1"/>
            <w:vAlign w:val="bottom"/>
            <w:hideMark/>
          </w:tcPr>
          <w:p w14:paraId="6A2F0BD0"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9E5123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3F79D4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D5A28A0"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6D56EE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50D23A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41EC32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B3142BA"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BD99CB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3CA3663A" w14:textId="77777777" w:rsidTr="002534CB">
        <w:tc>
          <w:tcPr>
            <w:tcW w:w="0" w:type="auto"/>
            <w:shd w:val="clear" w:color="auto" w:fill="FFFFFF" w:themeFill="background1"/>
            <w:vAlign w:val="bottom"/>
            <w:hideMark/>
          </w:tcPr>
          <w:p w14:paraId="50369A72" w14:textId="1FF8611A"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xml:space="preserve">Commitments and contingencies </w:t>
            </w:r>
          </w:p>
        </w:tc>
        <w:tc>
          <w:tcPr>
            <w:tcW w:w="0" w:type="auto"/>
            <w:shd w:val="clear" w:color="auto" w:fill="FFFFFF" w:themeFill="background1"/>
            <w:vAlign w:val="bottom"/>
            <w:hideMark/>
          </w:tcPr>
          <w:p w14:paraId="59CFD73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5801D9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EFCF88F"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vanish/>
                <w:sz w:val="20"/>
                <w:szCs w:val="20"/>
                <w:lang w:bidi="ta-IN"/>
              </w:rPr>
              <w:t>-</w:t>
            </w:r>
          </w:p>
        </w:tc>
        <w:tc>
          <w:tcPr>
            <w:tcW w:w="0" w:type="auto"/>
            <w:shd w:val="clear" w:color="auto" w:fill="FFFFFF" w:themeFill="background1"/>
            <w:vAlign w:val="bottom"/>
            <w:hideMark/>
          </w:tcPr>
          <w:p w14:paraId="79D86EB2"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F1BA07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1E7F48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A9CF6A0"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vanish/>
                <w:sz w:val="20"/>
                <w:szCs w:val="20"/>
                <w:lang w:bidi="ta-IN"/>
              </w:rPr>
              <w:t>-</w:t>
            </w:r>
          </w:p>
        </w:tc>
        <w:tc>
          <w:tcPr>
            <w:tcW w:w="0" w:type="auto"/>
            <w:shd w:val="clear" w:color="auto" w:fill="FFFFFF" w:themeFill="background1"/>
            <w:vAlign w:val="bottom"/>
            <w:hideMark/>
          </w:tcPr>
          <w:p w14:paraId="12AE1D3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6CA8E336" w14:textId="77777777" w:rsidTr="002534CB">
        <w:tc>
          <w:tcPr>
            <w:tcW w:w="0" w:type="auto"/>
            <w:shd w:val="clear" w:color="auto" w:fill="FFFFFF" w:themeFill="background1"/>
            <w:vAlign w:val="bottom"/>
            <w:hideMark/>
          </w:tcPr>
          <w:p w14:paraId="63958F1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B9F654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CFC7124"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B8D35BC"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3536E5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2BC37E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9B952E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5AEA51C"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80115A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084F7B13" w14:textId="77777777" w:rsidTr="002534CB">
        <w:tc>
          <w:tcPr>
            <w:tcW w:w="0" w:type="auto"/>
            <w:shd w:val="clear" w:color="auto" w:fill="FFFFFF" w:themeFill="background1"/>
            <w:vAlign w:val="bottom"/>
            <w:hideMark/>
          </w:tcPr>
          <w:p w14:paraId="26218142"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Shareholders’ equity</w:t>
            </w:r>
          </w:p>
        </w:tc>
        <w:tc>
          <w:tcPr>
            <w:tcW w:w="0" w:type="auto"/>
            <w:shd w:val="clear" w:color="auto" w:fill="FFFFFF" w:themeFill="background1"/>
            <w:vAlign w:val="bottom"/>
            <w:hideMark/>
          </w:tcPr>
          <w:p w14:paraId="6E689784"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D899B4A"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31734EE"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C56808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D8C99D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5F7E504"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2199E99"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BE62CB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0F71BED8" w14:textId="77777777" w:rsidTr="002534CB">
        <w:tc>
          <w:tcPr>
            <w:tcW w:w="0" w:type="auto"/>
            <w:shd w:val="clear" w:color="auto" w:fill="FFFFFF" w:themeFill="background1"/>
            <w:tcMar>
              <w:top w:w="0" w:type="dxa"/>
              <w:left w:w="200" w:type="dxa"/>
              <w:bottom w:w="0" w:type="dxa"/>
              <w:right w:w="0" w:type="dxa"/>
            </w:tcMar>
            <w:vAlign w:val="bottom"/>
            <w:hideMark/>
          </w:tcPr>
          <w:p w14:paraId="6C3139A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Common Stock: $0.001 par value, 20,000,000 shares authorized; 8,622,739 issued and outstanding as of March 31, 2024 and 8,535,239 issued and outstanding as of December 31, 2023</w:t>
            </w:r>
          </w:p>
        </w:tc>
        <w:tc>
          <w:tcPr>
            <w:tcW w:w="0" w:type="auto"/>
            <w:shd w:val="clear" w:color="auto" w:fill="FFFFFF" w:themeFill="background1"/>
            <w:vAlign w:val="bottom"/>
            <w:hideMark/>
          </w:tcPr>
          <w:p w14:paraId="377DACE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B5E459F"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AA1D7B4"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8,623</w:t>
            </w:r>
          </w:p>
        </w:tc>
        <w:tc>
          <w:tcPr>
            <w:tcW w:w="0" w:type="auto"/>
            <w:shd w:val="clear" w:color="auto" w:fill="FFFFFF" w:themeFill="background1"/>
            <w:vAlign w:val="bottom"/>
            <w:hideMark/>
          </w:tcPr>
          <w:p w14:paraId="4DDCE07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D9B36E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6960C5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5635572"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8,535</w:t>
            </w:r>
          </w:p>
        </w:tc>
        <w:tc>
          <w:tcPr>
            <w:tcW w:w="0" w:type="auto"/>
            <w:shd w:val="clear" w:color="auto" w:fill="FFFFFF" w:themeFill="background1"/>
            <w:vAlign w:val="bottom"/>
            <w:hideMark/>
          </w:tcPr>
          <w:p w14:paraId="3ED1BDF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39422E55" w14:textId="77777777" w:rsidTr="002534CB">
        <w:tc>
          <w:tcPr>
            <w:tcW w:w="0" w:type="auto"/>
            <w:shd w:val="clear" w:color="auto" w:fill="FFFFFF" w:themeFill="background1"/>
            <w:tcMar>
              <w:top w:w="0" w:type="dxa"/>
              <w:left w:w="200" w:type="dxa"/>
              <w:bottom w:w="0" w:type="dxa"/>
              <w:right w:w="0" w:type="dxa"/>
            </w:tcMar>
            <w:vAlign w:val="bottom"/>
            <w:hideMark/>
          </w:tcPr>
          <w:p w14:paraId="19B31F9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Additional paid-in capital</w:t>
            </w:r>
          </w:p>
        </w:tc>
        <w:tc>
          <w:tcPr>
            <w:tcW w:w="0" w:type="auto"/>
            <w:shd w:val="clear" w:color="auto" w:fill="FFFFFF" w:themeFill="background1"/>
            <w:vAlign w:val="bottom"/>
            <w:hideMark/>
          </w:tcPr>
          <w:p w14:paraId="07CFA366"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3BC34B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63FB803"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73,180,208</w:t>
            </w:r>
          </w:p>
        </w:tc>
        <w:tc>
          <w:tcPr>
            <w:tcW w:w="0" w:type="auto"/>
            <w:shd w:val="clear" w:color="auto" w:fill="FFFFFF" w:themeFill="background1"/>
            <w:vAlign w:val="bottom"/>
            <w:hideMark/>
          </w:tcPr>
          <w:p w14:paraId="758308E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EF98080"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4C38EA3"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D43B86A"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72,860,556</w:t>
            </w:r>
          </w:p>
        </w:tc>
        <w:tc>
          <w:tcPr>
            <w:tcW w:w="0" w:type="auto"/>
            <w:shd w:val="clear" w:color="auto" w:fill="FFFFFF" w:themeFill="background1"/>
            <w:vAlign w:val="bottom"/>
            <w:hideMark/>
          </w:tcPr>
          <w:p w14:paraId="0A069300"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r>
      <w:tr w:rsidR="00AA042E" w:rsidRPr="00AA042E" w14:paraId="1A791781" w14:textId="77777777" w:rsidTr="002534CB">
        <w:tc>
          <w:tcPr>
            <w:tcW w:w="0" w:type="auto"/>
            <w:shd w:val="clear" w:color="auto" w:fill="FFFFFF" w:themeFill="background1"/>
            <w:tcMar>
              <w:top w:w="0" w:type="dxa"/>
              <w:left w:w="200" w:type="dxa"/>
              <w:bottom w:w="30" w:type="dxa"/>
              <w:right w:w="0" w:type="dxa"/>
            </w:tcMar>
            <w:vAlign w:val="bottom"/>
            <w:hideMark/>
          </w:tcPr>
          <w:p w14:paraId="3AF849B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Accumulated deficit</w:t>
            </w:r>
          </w:p>
        </w:tc>
        <w:tc>
          <w:tcPr>
            <w:tcW w:w="0" w:type="auto"/>
            <w:shd w:val="clear" w:color="auto" w:fill="FFFFFF" w:themeFill="background1"/>
            <w:tcMar>
              <w:top w:w="0" w:type="dxa"/>
              <w:left w:w="0" w:type="dxa"/>
              <w:bottom w:w="30" w:type="dxa"/>
              <w:right w:w="0" w:type="dxa"/>
            </w:tcMar>
            <w:vAlign w:val="bottom"/>
            <w:hideMark/>
          </w:tcPr>
          <w:p w14:paraId="623105B0"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0DB415B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50B1F315" w14:textId="16B1F758"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(29,</w:t>
            </w:r>
            <w:r w:rsidR="009A5F76" w:rsidRPr="00AA042E">
              <w:rPr>
                <w:rFonts w:ascii="Times New Roman" w:eastAsia="Times New Roman" w:hAnsi="Times New Roman" w:cs="Times New Roman"/>
                <w:sz w:val="20"/>
                <w:szCs w:val="20"/>
                <w:lang w:bidi="ta-IN"/>
              </w:rPr>
              <w:t>8</w:t>
            </w:r>
            <w:r w:rsidR="009A5F76">
              <w:rPr>
                <w:rFonts w:ascii="Times New Roman" w:eastAsia="Times New Roman" w:hAnsi="Times New Roman" w:cs="Times New Roman"/>
                <w:sz w:val="20"/>
                <w:szCs w:val="20"/>
                <w:lang w:bidi="ta-IN"/>
              </w:rPr>
              <w:t>9</w:t>
            </w:r>
            <w:r w:rsidR="009A5F76" w:rsidRPr="00AA042E">
              <w:rPr>
                <w:rFonts w:ascii="Times New Roman" w:eastAsia="Times New Roman" w:hAnsi="Times New Roman" w:cs="Times New Roman"/>
                <w:sz w:val="20"/>
                <w:szCs w:val="20"/>
                <w:lang w:bidi="ta-IN"/>
              </w:rPr>
              <w:t>8</w:t>
            </w:r>
            <w:r w:rsidRPr="00AA042E">
              <w:rPr>
                <w:rFonts w:ascii="Times New Roman" w:eastAsia="Times New Roman" w:hAnsi="Times New Roman" w:cs="Times New Roman"/>
                <w:sz w:val="20"/>
                <w:szCs w:val="20"/>
                <w:lang w:bidi="ta-IN"/>
              </w:rPr>
              <w:t>,146</w:t>
            </w:r>
          </w:p>
        </w:tc>
        <w:tc>
          <w:tcPr>
            <w:tcW w:w="0" w:type="auto"/>
            <w:shd w:val="clear" w:color="auto" w:fill="FFFFFF" w:themeFill="background1"/>
            <w:tcMar>
              <w:top w:w="0" w:type="dxa"/>
              <w:left w:w="0" w:type="dxa"/>
              <w:bottom w:w="30" w:type="dxa"/>
              <w:right w:w="0" w:type="dxa"/>
            </w:tcMar>
            <w:vAlign w:val="bottom"/>
            <w:hideMark/>
          </w:tcPr>
          <w:p w14:paraId="55C7522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5AA7A717"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6CC2000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69883B93"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(28,036,814</w:t>
            </w:r>
          </w:p>
        </w:tc>
        <w:tc>
          <w:tcPr>
            <w:tcW w:w="0" w:type="auto"/>
            <w:shd w:val="clear" w:color="auto" w:fill="FFFFFF" w:themeFill="background1"/>
            <w:tcMar>
              <w:top w:w="0" w:type="dxa"/>
              <w:left w:w="0" w:type="dxa"/>
              <w:bottom w:w="30" w:type="dxa"/>
              <w:right w:w="0" w:type="dxa"/>
            </w:tcMar>
            <w:vAlign w:val="bottom"/>
            <w:hideMark/>
          </w:tcPr>
          <w:p w14:paraId="2A625C3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w:t>
            </w:r>
          </w:p>
        </w:tc>
      </w:tr>
      <w:tr w:rsidR="00AA042E" w:rsidRPr="00AA042E" w14:paraId="5037F913" w14:textId="77777777" w:rsidTr="002534CB">
        <w:tc>
          <w:tcPr>
            <w:tcW w:w="0" w:type="auto"/>
            <w:shd w:val="clear" w:color="auto" w:fill="FFFFFF" w:themeFill="background1"/>
            <w:vAlign w:val="bottom"/>
            <w:hideMark/>
          </w:tcPr>
          <w:p w14:paraId="32878210"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Total Sanara MedTech shareholders’ equity</w:t>
            </w:r>
          </w:p>
        </w:tc>
        <w:tc>
          <w:tcPr>
            <w:tcW w:w="0" w:type="auto"/>
            <w:shd w:val="clear" w:color="auto" w:fill="FFFFFF" w:themeFill="background1"/>
            <w:vAlign w:val="bottom"/>
            <w:hideMark/>
          </w:tcPr>
          <w:p w14:paraId="13955D42"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vAlign w:val="bottom"/>
            <w:hideMark/>
          </w:tcPr>
          <w:p w14:paraId="64275E5A"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vAlign w:val="bottom"/>
            <w:hideMark/>
          </w:tcPr>
          <w:p w14:paraId="555B976F" w14:textId="446A96BA"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43,</w:t>
            </w:r>
            <w:r w:rsidR="009A5F76">
              <w:rPr>
                <w:rFonts w:ascii="Times New Roman" w:eastAsia="Times New Roman" w:hAnsi="Times New Roman" w:cs="Times New Roman"/>
                <w:b/>
                <w:bCs/>
                <w:sz w:val="20"/>
                <w:szCs w:val="20"/>
                <w:lang w:bidi="ta-IN"/>
              </w:rPr>
              <w:t>290</w:t>
            </w:r>
            <w:r w:rsidRPr="00AA042E">
              <w:rPr>
                <w:rFonts w:ascii="Times New Roman" w:eastAsia="Times New Roman" w:hAnsi="Times New Roman" w:cs="Times New Roman"/>
                <w:b/>
                <w:bCs/>
                <w:sz w:val="20"/>
                <w:szCs w:val="20"/>
                <w:lang w:bidi="ta-IN"/>
              </w:rPr>
              <w:t>,685</w:t>
            </w:r>
          </w:p>
        </w:tc>
        <w:tc>
          <w:tcPr>
            <w:tcW w:w="0" w:type="auto"/>
            <w:shd w:val="clear" w:color="auto" w:fill="FFFFFF" w:themeFill="background1"/>
            <w:vAlign w:val="bottom"/>
            <w:hideMark/>
          </w:tcPr>
          <w:p w14:paraId="35CD5704"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vAlign w:val="bottom"/>
            <w:hideMark/>
          </w:tcPr>
          <w:p w14:paraId="218FF831"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vAlign w:val="bottom"/>
            <w:hideMark/>
          </w:tcPr>
          <w:p w14:paraId="2B312B12"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vAlign w:val="bottom"/>
            <w:hideMark/>
          </w:tcPr>
          <w:p w14:paraId="184E1F05"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44,832,277</w:t>
            </w:r>
          </w:p>
        </w:tc>
        <w:tc>
          <w:tcPr>
            <w:tcW w:w="0" w:type="auto"/>
            <w:shd w:val="clear" w:color="auto" w:fill="FFFFFF" w:themeFill="background1"/>
            <w:vAlign w:val="bottom"/>
            <w:hideMark/>
          </w:tcPr>
          <w:p w14:paraId="0808AF41"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r>
      <w:tr w:rsidR="00AA042E" w:rsidRPr="00AA042E" w14:paraId="4BAAB15E" w14:textId="77777777" w:rsidTr="002534CB">
        <w:tc>
          <w:tcPr>
            <w:tcW w:w="0" w:type="auto"/>
            <w:shd w:val="clear" w:color="auto" w:fill="FFFFFF" w:themeFill="background1"/>
            <w:tcMar>
              <w:top w:w="0" w:type="dxa"/>
              <w:left w:w="0" w:type="dxa"/>
              <w:bottom w:w="30" w:type="dxa"/>
              <w:right w:w="0" w:type="dxa"/>
            </w:tcMar>
            <w:vAlign w:val="bottom"/>
            <w:hideMark/>
          </w:tcPr>
          <w:p w14:paraId="0E5B2B0B"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Equity attributable to noncontrolling interest</w:t>
            </w:r>
          </w:p>
        </w:tc>
        <w:tc>
          <w:tcPr>
            <w:tcW w:w="0" w:type="auto"/>
            <w:shd w:val="clear" w:color="auto" w:fill="FFFFFF" w:themeFill="background1"/>
            <w:tcMar>
              <w:top w:w="0" w:type="dxa"/>
              <w:left w:w="0" w:type="dxa"/>
              <w:bottom w:w="30" w:type="dxa"/>
              <w:right w:w="0" w:type="dxa"/>
            </w:tcMar>
            <w:vAlign w:val="bottom"/>
            <w:hideMark/>
          </w:tcPr>
          <w:p w14:paraId="5A8EF001"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389A3A3E"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0FB93B3C"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(279,119</w:t>
            </w:r>
          </w:p>
        </w:tc>
        <w:tc>
          <w:tcPr>
            <w:tcW w:w="0" w:type="auto"/>
            <w:shd w:val="clear" w:color="auto" w:fill="FFFFFF" w:themeFill="background1"/>
            <w:tcMar>
              <w:top w:w="0" w:type="dxa"/>
              <w:left w:w="0" w:type="dxa"/>
              <w:bottom w:w="30" w:type="dxa"/>
              <w:right w:w="0" w:type="dxa"/>
            </w:tcMar>
            <w:vAlign w:val="bottom"/>
            <w:hideMark/>
          </w:tcPr>
          <w:p w14:paraId="5022370D"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4BA6C7C9"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584B5098"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5C5FCA9B" w14:textId="77777777" w:rsidR="00AA042E" w:rsidRPr="00AA042E" w:rsidRDefault="00AA042E" w:rsidP="00AA042E">
            <w:pPr>
              <w:spacing w:after="0" w:line="240" w:lineRule="auto"/>
              <w:jc w:val="right"/>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(244,260</w:t>
            </w:r>
          </w:p>
        </w:tc>
        <w:tc>
          <w:tcPr>
            <w:tcW w:w="0" w:type="auto"/>
            <w:shd w:val="clear" w:color="auto" w:fill="FFFFFF" w:themeFill="background1"/>
            <w:tcMar>
              <w:top w:w="0" w:type="dxa"/>
              <w:left w:w="0" w:type="dxa"/>
              <w:bottom w:w="30" w:type="dxa"/>
              <w:right w:w="0" w:type="dxa"/>
            </w:tcMar>
            <w:vAlign w:val="bottom"/>
            <w:hideMark/>
          </w:tcPr>
          <w:p w14:paraId="61EC9205" w14:textId="77777777" w:rsidR="00AA042E" w:rsidRPr="00AA042E" w:rsidRDefault="00AA042E" w:rsidP="00AA042E">
            <w:pPr>
              <w:spacing w:after="0" w:line="240" w:lineRule="auto"/>
              <w:rPr>
                <w:rFonts w:ascii="Times New Roman" w:eastAsia="Times New Roman" w:hAnsi="Times New Roman" w:cs="Times New Roman"/>
                <w:sz w:val="20"/>
                <w:szCs w:val="20"/>
                <w:lang w:bidi="ta-IN"/>
              </w:rPr>
            </w:pPr>
            <w:r w:rsidRPr="00AA042E">
              <w:rPr>
                <w:rFonts w:ascii="Times New Roman" w:eastAsia="Times New Roman" w:hAnsi="Times New Roman" w:cs="Times New Roman"/>
                <w:sz w:val="20"/>
                <w:szCs w:val="20"/>
                <w:lang w:bidi="ta-IN"/>
              </w:rPr>
              <w:t>)</w:t>
            </w:r>
          </w:p>
        </w:tc>
      </w:tr>
      <w:tr w:rsidR="00AA042E" w:rsidRPr="00AA042E" w14:paraId="23824306" w14:textId="77777777" w:rsidTr="002534CB">
        <w:tc>
          <w:tcPr>
            <w:tcW w:w="0" w:type="auto"/>
            <w:shd w:val="clear" w:color="auto" w:fill="FFFFFF" w:themeFill="background1"/>
            <w:tcMar>
              <w:top w:w="0" w:type="dxa"/>
              <w:left w:w="0" w:type="dxa"/>
              <w:bottom w:w="30" w:type="dxa"/>
              <w:right w:w="0" w:type="dxa"/>
            </w:tcMar>
            <w:vAlign w:val="bottom"/>
            <w:hideMark/>
          </w:tcPr>
          <w:p w14:paraId="6E633E09"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Total shareholders’ equity</w:t>
            </w:r>
          </w:p>
        </w:tc>
        <w:tc>
          <w:tcPr>
            <w:tcW w:w="0" w:type="auto"/>
            <w:shd w:val="clear" w:color="auto" w:fill="FFFFFF" w:themeFill="background1"/>
            <w:tcMar>
              <w:top w:w="0" w:type="dxa"/>
              <w:left w:w="0" w:type="dxa"/>
              <w:bottom w:w="30" w:type="dxa"/>
              <w:right w:w="0" w:type="dxa"/>
            </w:tcMar>
            <w:vAlign w:val="bottom"/>
            <w:hideMark/>
          </w:tcPr>
          <w:p w14:paraId="704FC5C5"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3F6302FD"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54767774" w14:textId="48253A68"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43,</w:t>
            </w:r>
            <w:r w:rsidR="009A5F76" w:rsidRPr="00AA042E">
              <w:rPr>
                <w:rFonts w:ascii="Times New Roman" w:eastAsia="Times New Roman" w:hAnsi="Times New Roman" w:cs="Times New Roman"/>
                <w:b/>
                <w:bCs/>
                <w:sz w:val="20"/>
                <w:szCs w:val="20"/>
                <w:lang w:bidi="ta-IN"/>
              </w:rPr>
              <w:t>0</w:t>
            </w:r>
            <w:r w:rsidR="009A5F76">
              <w:rPr>
                <w:rFonts w:ascii="Times New Roman" w:eastAsia="Times New Roman" w:hAnsi="Times New Roman" w:cs="Times New Roman"/>
                <w:b/>
                <w:bCs/>
                <w:sz w:val="20"/>
                <w:szCs w:val="20"/>
                <w:lang w:bidi="ta-IN"/>
              </w:rPr>
              <w:t>1</w:t>
            </w:r>
            <w:r w:rsidR="009A5F76" w:rsidRPr="00AA042E">
              <w:rPr>
                <w:rFonts w:ascii="Times New Roman" w:eastAsia="Times New Roman" w:hAnsi="Times New Roman" w:cs="Times New Roman"/>
                <w:b/>
                <w:bCs/>
                <w:sz w:val="20"/>
                <w:szCs w:val="20"/>
                <w:lang w:bidi="ta-IN"/>
              </w:rPr>
              <w:t>1</w:t>
            </w:r>
            <w:r w:rsidRPr="00AA042E">
              <w:rPr>
                <w:rFonts w:ascii="Times New Roman" w:eastAsia="Times New Roman" w:hAnsi="Times New Roman" w:cs="Times New Roman"/>
                <w:b/>
                <w:bCs/>
                <w:sz w:val="20"/>
                <w:szCs w:val="20"/>
                <w:lang w:bidi="ta-IN"/>
              </w:rPr>
              <w:t>,566</w:t>
            </w:r>
          </w:p>
        </w:tc>
        <w:tc>
          <w:tcPr>
            <w:tcW w:w="0" w:type="auto"/>
            <w:shd w:val="clear" w:color="auto" w:fill="FFFFFF" w:themeFill="background1"/>
            <w:tcMar>
              <w:top w:w="0" w:type="dxa"/>
              <w:left w:w="0" w:type="dxa"/>
              <w:bottom w:w="30" w:type="dxa"/>
              <w:right w:w="0" w:type="dxa"/>
            </w:tcMar>
            <w:vAlign w:val="bottom"/>
            <w:hideMark/>
          </w:tcPr>
          <w:p w14:paraId="5FD18B49"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04D949D0"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1EF15F52"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2CE28D74"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44,588,017</w:t>
            </w:r>
          </w:p>
        </w:tc>
        <w:tc>
          <w:tcPr>
            <w:tcW w:w="0" w:type="auto"/>
            <w:shd w:val="clear" w:color="auto" w:fill="FFFFFF" w:themeFill="background1"/>
            <w:tcMar>
              <w:top w:w="0" w:type="dxa"/>
              <w:left w:w="0" w:type="dxa"/>
              <w:bottom w:w="30" w:type="dxa"/>
              <w:right w:w="0" w:type="dxa"/>
            </w:tcMar>
            <w:vAlign w:val="bottom"/>
            <w:hideMark/>
          </w:tcPr>
          <w:p w14:paraId="0A596B9E"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r>
      <w:tr w:rsidR="00AA042E" w:rsidRPr="00AA042E" w14:paraId="49AD7B2F" w14:textId="77777777" w:rsidTr="002534CB">
        <w:tc>
          <w:tcPr>
            <w:tcW w:w="0" w:type="auto"/>
            <w:shd w:val="clear" w:color="auto" w:fill="FFFFFF" w:themeFill="background1"/>
            <w:tcMar>
              <w:top w:w="0" w:type="dxa"/>
              <w:left w:w="0" w:type="dxa"/>
              <w:bottom w:w="50" w:type="dxa"/>
              <w:right w:w="0" w:type="dxa"/>
            </w:tcMar>
            <w:vAlign w:val="bottom"/>
            <w:hideMark/>
          </w:tcPr>
          <w:p w14:paraId="5752009D"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Total liabilities and shareholders’ equity</w:t>
            </w:r>
          </w:p>
        </w:tc>
        <w:tc>
          <w:tcPr>
            <w:tcW w:w="0" w:type="auto"/>
            <w:shd w:val="clear" w:color="auto" w:fill="FFFFFF" w:themeFill="background1"/>
            <w:tcMar>
              <w:top w:w="0" w:type="dxa"/>
              <w:left w:w="0" w:type="dxa"/>
              <w:bottom w:w="50" w:type="dxa"/>
              <w:right w:w="0" w:type="dxa"/>
            </w:tcMar>
            <w:vAlign w:val="bottom"/>
            <w:hideMark/>
          </w:tcPr>
          <w:p w14:paraId="7FEE7327"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double" w:sz="6" w:space="0" w:color="000000"/>
            </w:tcBorders>
            <w:shd w:val="clear" w:color="auto" w:fill="FFFFFF" w:themeFill="background1"/>
            <w:vAlign w:val="bottom"/>
            <w:hideMark/>
          </w:tcPr>
          <w:p w14:paraId="79C4A37D"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w:t>
            </w:r>
          </w:p>
        </w:tc>
        <w:tc>
          <w:tcPr>
            <w:tcW w:w="0" w:type="auto"/>
            <w:tcBorders>
              <w:bottom w:val="double" w:sz="6" w:space="0" w:color="000000"/>
            </w:tcBorders>
            <w:shd w:val="clear" w:color="auto" w:fill="FFFFFF" w:themeFill="background1"/>
            <w:vAlign w:val="bottom"/>
            <w:hideMark/>
          </w:tcPr>
          <w:p w14:paraId="07C0EA39"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70,911,940</w:t>
            </w:r>
          </w:p>
        </w:tc>
        <w:tc>
          <w:tcPr>
            <w:tcW w:w="0" w:type="auto"/>
            <w:shd w:val="clear" w:color="auto" w:fill="FFFFFF" w:themeFill="background1"/>
            <w:tcMar>
              <w:top w:w="0" w:type="dxa"/>
              <w:left w:w="0" w:type="dxa"/>
              <w:bottom w:w="50" w:type="dxa"/>
              <w:right w:w="0" w:type="dxa"/>
            </w:tcMar>
            <w:vAlign w:val="bottom"/>
            <w:hideMark/>
          </w:tcPr>
          <w:p w14:paraId="0EE65145"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50" w:type="dxa"/>
              <w:right w:w="0" w:type="dxa"/>
            </w:tcMar>
            <w:vAlign w:val="bottom"/>
            <w:hideMark/>
          </w:tcPr>
          <w:p w14:paraId="34C87F43"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c>
          <w:tcPr>
            <w:tcW w:w="0" w:type="auto"/>
            <w:tcBorders>
              <w:bottom w:val="double" w:sz="6" w:space="0" w:color="000000"/>
            </w:tcBorders>
            <w:shd w:val="clear" w:color="auto" w:fill="FFFFFF" w:themeFill="background1"/>
            <w:vAlign w:val="bottom"/>
            <w:hideMark/>
          </w:tcPr>
          <w:p w14:paraId="0AC6F3DA"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w:t>
            </w:r>
          </w:p>
        </w:tc>
        <w:tc>
          <w:tcPr>
            <w:tcW w:w="0" w:type="auto"/>
            <w:tcBorders>
              <w:bottom w:val="double" w:sz="6" w:space="0" w:color="000000"/>
            </w:tcBorders>
            <w:shd w:val="clear" w:color="auto" w:fill="FFFFFF" w:themeFill="background1"/>
            <w:vAlign w:val="bottom"/>
            <w:hideMark/>
          </w:tcPr>
          <w:p w14:paraId="0D85A2C1" w14:textId="77777777" w:rsidR="00AA042E" w:rsidRPr="00AA042E" w:rsidRDefault="00AA042E" w:rsidP="00AA042E">
            <w:pPr>
              <w:spacing w:after="0" w:line="240" w:lineRule="auto"/>
              <w:jc w:val="right"/>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73,871,149</w:t>
            </w:r>
          </w:p>
        </w:tc>
        <w:tc>
          <w:tcPr>
            <w:tcW w:w="0" w:type="auto"/>
            <w:shd w:val="clear" w:color="auto" w:fill="FFFFFF" w:themeFill="background1"/>
            <w:tcMar>
              <w:top w:w="0" w:type="dxa"/>
              <w:left w:w="0" w:type="dxa"/>
              <w:bottom w:w="50" w:type="dxa"/>
              <w:right w:w="0" w:type="dxa"/>
            </w:tcMar>
            <w:vAlign w:val="bottom"/>
            <w:hideMark/>
          </w:tcPr>
          <w:p w14:paraId="5AC16E33" w14:textId="77777777" w:rsidR="00AA042E" w:rsidRPr="00AA042E" w:rsidRDefault="00AA042E" w:rsidP="00AA042E">
            <w:pPr>
              <w:spacing w:after="0" w:line="240" w:lineRule="auto"/>
              <w:rPr>
                <w:rFonts w:ascii="Times New Roman" w:eastAsia="Times New Roman" w:hAnsi="Times New Roman" w:cs="Times New Roman"/>
                <w:b/>
                <w:bCs/>
                <w:sz w:val="20"/>
                <w:szCs w:val="20"/>
                <w:lang w:bidi="ta-IN"/>
              </w:rPr>
            </w:pPr>
            <w:r w:rsidRPr="00AA042E">
              <w:rPr>
                <w:rFonts w:ascii="Times New Roman" w:eastAsia="Times New Roman" w:hAnsi="Times New Roman" w:cs="Times New Roman"/>
                <w:b/>
                <w:bCs/>
                <w:sz w:val="20"/>
                <w:szCs w:val="20"/>
                <w:lang w:bidi="ta-IN"/>
              </w:rPr>
              <w:t> </w:t>
            </w:r>
          </w:p>
        </w:tc>
      </w:tr>
    </w:tbl>
    <w:p w14:paraId="38271716" w14:textId="77777777" w:rsidR="007B59CA" w:rsidRDefault="007B59CA" w:rsidP="007B59CA">
      <w:pPr>
        <w:pStyle w:val="NoSpacing"/>
        <w:jc w:val="center"/>
        <w:rPr>
          <w:rFonts w:ascii="Times New Roman" w:hAnsi="Times New Roman" w:cs="Times New Roman"/>
          <w:b/>
          <w:bCs/>
          <w:noProof/>
        </w:rPr>
      </w:pPr>
    </w:p>
    <w:p w14:paraId="4EAD6C4D" w14:textId="77777777" w:rsidR="007B59CA" w:rsidRDefault="007B59CA" w:rsidP="007B59CA">
      <w:pPr>
        <w:pStyle w:val="NoSpacing"/>
        <w:jc w:val="center"/>
        <w:rPr>
          <w:rFonts w:ascii="Times New Roman" w:hAnsi="Times New Roman" w:cs="Times New Roman"/>
          <w:b/>
          <w:bCs/>
          <w:noProof/>
        </w:rPr>
      </w:pPr>
    </w:p>
    <w:p w14:paraId="6E20A07C" w14:textId="77777777" w:rsidR="007B59CA" w:rsidRPr="00783AD6" w:rsidRDefault="007B59CA" w:rsidP="007B59CA">
      <w:pPr>
        <w:pStyle w:val="NoSpacing"/>
        <w:jc w:val="center"/>
        <w:rPr>
          <w:rFonts w:ascii="Times New Roman" w:hAnsi="Times New Roman" w:cs="Times New Roman"/>
          <w:b/>
          <w:bCs/>
          <w:noProof/>
        </w:rPr>
      </w:pPr>
      <w:r w:rsidRPr="00783AD6">
        <w:rPr>
          <w:rFonts w:ascii="Times New Roman" w:hAnsi="Times New Roman" w:cs="Times New Roman"/>
          <w:b/>
          <w:bCs/>
          <w:noProof/>
        </w:rPr>
        <w:t>SANARA MEDTECH INC. AND SUBSIDIARIES</w:t>
      </w:r>
    </w:p>
    <w:p w14:paraId="74B99F11" w14:textId="3BE450FD" w:rsidR="007B59CA" w:rsidRDefault="007B59CA" w:rsidP="007B59CA">
      <w:pPr>
        <w:pStyle w:val="NoSpacing"/>
        <w:jc w:val="center"/>
        <w:rPr>
          <w:rFonts w:ascii="Times New Roman" w:hAnsi="Times New Roman" w:cs="Times New Roman"/>
          <w:b/>
          <w:bCs/>
          <w:noProof/>
        </w:rPr>
      </w:pPr>
      <w:r w:rsidRPr="00783AD6">
        <w:rPr>
          <w:rFonts w:ascii="Times New Roman" w:hAnsi="Times New Roman" w:cs="Times New Roman"/>
          <w:b/>
          <w:bCs/>
          <w:noProof/>
        </w:rPr>
        <w:t>CONSOLIDATED STATEMEN</w:t>
      </w:r>
      <w:r>
        <w:rPr>
          <w:rFonts w:ascii="Times New Roman" w:hAnsi="Times New Roman" w:cs="Times New Roman"/>
          <w:b/>
          <w:bCs/>
          <w:noProof/>
        </w:rPr>
        <w:t>T</w:t>
      </w:r>
      <w:r w:rsidRPr="00783AD6">
        <w:rPr>
          <w:rFonts w:ascii="Times New Roman" w:hAnsi="Times New Roman" w:cs="Times New Roman"/>
          <w:b/>
          <w:bCs/>
          <w:noProof/>
        </w:rPr>
        <w:t>S OF OPERATIONS</w:t>
      </w:r>
      <w:r w:rsidR="009A5F76">
        <w:rPr>
          <w:rFonts w:ascii="Times New Roman" w:hAnsi="Times New Roman" w:cs="Times New Roman"/>
          <w:b/>
          <w:bCs/>
          <w:noProof/>
        </w:rPr>
        <w:t xml:space="preserve"> (UNAUDITED)</w:t>
      </w:r>
      <w:r w:rsidRPr="00783AD6">
        <w:rPr>
          <w:rFonts w:ascii="Times New Roman" w:hAnsi="Times New Roman" w:cs="Times New Roman"/>
          <w:b/>
          <w:bCs/>
          <w:noProof/>
        </w:rPr>
        <w:t xml:space="preserve"> </w:t>
      </w:r>
    </w:p>
    <w:p w14:paraId="10185048" w14:textId="77777777" w:rsidR="007B59CA" w:rsidRDefault="007B59CA" w:rsidP="007B59CA">
      <w:pPr>
        <w:pStyle w:val="NoSpacing"/>
        <w:jc w:val="center"/>
        <w:rPr>
          <w:rFonts w:ascii="Times New Roman" w:hAnsi="Times New Roman" w:cs="Times New Roman"/>
          <w:b/>
          <w:bCs/>
          <w:noProof/>
        </w:rPr>
      </w:pPr>
    </w:p>
    <w:tbl>
      <w:tblPr>
        <w:tblW w:w="5000" w:type="pct"/>
        <w:shd w:val="clear" w:color="auto" w:fill="FFFFFF" w:themeFill="background1"/>
        <w:tblCellMar>
          <w:left w:w="0" w:type="dxa"/>
          <w:right w:w="0" w:type="dxa"/>
        </w:tblCellMar>
        <w:tblLook w:val="04A0" w:firstRow="1" w:lastRow="0" w:firstColumn="1" w:lastColumn="0" w:noHBand="0" w:noVBand="1"/>
      </w:tblPr>
      <w:tblGrid>
        <w:gridCol w:w="5988"/>
        <w:gridCol w:w="185"/>
        <w:gridCol w:w="100"/>
        <w:gridCol w:w="1308"/>
        <w:gridCol w:w="92"/>
        <w:gridCol w:w="185"/>
        <w:gridCol w:w="100"/>
        <w:gridCol w:w="1309"/>
        <w:gridCol w:w="93"/>
      </w:tblGrid>
      <w:tr w:rsidR="00D8135B" w:rsidRPr="00D8135B" w14:paraId="100EFA20" w14:textId="77777777" w:rsidTr="002534CB">
        <w:tc>
          <w:tcPr>
            <w:tcW w:w="0" w:type="auto"/>
            <w:shd w:val="clear" w:color="auto" w:fill="FFFFFF" w:themeFill="background1"/>
            <w:vAlign w:val="bottom"/>
            <w:hideMark/>
          </w:tcPr>
          <w:p w14:paraId="2B63A0A9"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8174BE3" w14:textId="77777777" w:rsidR="00D8135B" w:rsidRPr="00D8135B" w:rsidRDefault="00D8135B" w:rsidP="00D8135B">
            <w:pPr>
              <w:spacing w:after="0" w:line="240" w:lineRule="auto"/>
              <w:jc w:val="center"/>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gridSpan w:val="6"/>
            <w:shd w:val="clear" w:color="auto" w:fill="FFFFFF" w:themeFill="background1"/>
            <w:vAlign w:val="bottom"/>
            <w:hideMark/>
          </w:tcPr>
          <w:p w14:paraId="20C70ACC" w14:textId="77777777" w:rsidR="00D8135B" w:rsidRPr="00D8135B" w:rsidRDefault="00D8135B" w:rsidP="00D8135B">
            <w:pPr>
              <w:spacing w:after="0" w:line="240" w:lineRule="auto"/>
              <w:jc w:val="center"/>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Three Months Ended</w:t>
            </w:r>
          </w:p>
        </w:tc>
        <w:tc>
          <w:tcPr>
            <w:tcW w:w="0" w:type="auto"/>
            <w:shd w:val="clear" w:color="auto" w:fill="FFFFFF" w:themeFill="background1"/>
            <w:vAlign w:val="bottom"/>
            <w:hideMark/>
          </w:tcPr>
          <w:p w14:paraId="0EF60AF4" w14:textId="77777777" w:rsidR="00D8135B" w:rsidRPr="00D8135B" w:rsidRDefault="00D8135B" w:rsidP="00D8135B">
            <w:pPr>
              <w:spacing w:after="0" w:line="240" w:lineRule="auto"/>
              <w:jc w:val="center"/>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r>
      <w:tr w:rsidR="00D8135B" w:rsidRPr="00D8135B" w14:paraId="3530CECC" w14:textId="77777777" w:rsidTr="002534CB">
        <w:tc>
          <w:tcPr>
            <w:tcW w:w="0" w:type="auto"/>
            <w:shd w:val="clear" w:color="auto" w:fill="FFFFFF" w:themeFill="background1"/>
            <w:vAlign w:val="bottom"/>
            <w:hideMark/>
          </w:tcPr>
          <w:p w14:paraId="299E5C0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3B3DD13C" w14:textId="77777777" w:rsidR="00D8135B" w:rsidRPr="00D8135B" w:rsidRDefault="00D8135B" w:rsidP="00D8135B">
            <w:pPr>
              <w:spacing w:after="0" w:line="240" w:lineRule="auto"/>
              <w:jc w:val="center"/>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gridSpan w:val="6"/>
            <w:tcBorders>
              <w:bottom w:val="single" w:sz="12" w:space="0" w:color="000000"/>
            </w:tcBorders>
            <w:shd w:val="clear" w:color="auto" w:fill="FFFFFF" w:themeFill="background1"/>
            <w:vAlign w:val="bottom"/>
            <w:hideMark/>
          </w:tcPr>
          <w:p w14:paraId="4D90D053" w14:textId="77777777" w:rsidR="00D8135B" w:rsidRPr="00D8135B" w:rsidRDefault="00D8135B" w:rsidP="00D8135B">
            <w:pPr>
              <w:spacing w:after="0" w:line="240" w:lineRule="auto"/>
              <w:jc w:val="center"/>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March 31,</w:t>
            </w:r>
          </w:p>
        </w:tc>
        <w:tc>
          <w:tcPr>
            <w:tcW w:w="0" w:type="auto"/>
            <w:shd w:val="clear" w:color="auto" w:fill="FFFFFF" w:themeFill="background1"/>
            <w:tcMar>
              <w:top w:w="0" w:type="dxa"/>
              <w:left w:w="0" w:type="dxa"/>
              <w:bottom w:w="30" w:type="dxa"/>
              <w:right w:w="0" w:type="dxa"/>
            </w:tcMar>
            <w:vAlign w:val="bottom"/>
            <w:hideMark/>
          </w:tcPr>
          <w:p w14:paraId="4794DEB6" w14:textId="77777777" w:rsidR="00D8135B" w:rsidRPr="00D8135B" w:rsidRDefault="00D8135B" w:rsidP="00D8135B">
            <w:pPr>
              <w:spacing w:after="0" w:line="240" w:lineRule="auto"/>
              <w:jc w:val="center"/>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r>
      <w:tr w:rsidR="00D8135B" w:rsidRPr="00D8135B" w14:paraId="40BCE7A6" w14:textId="77777777" w:rsidTr="002534CB">
        <w:tc>
          <w:tcPr>
            <w:tcW w:w="0" w:type="auto"/>
            <w:shd w:val="clear" w:color="auto" w:fill="FFFFFF" w:themeFill="background1"/>
            <w:vAlign w:val="bottom"/>
            <w:hideMark/>
          </w:tcPr>
          <w:p w14:paraId="2C7A4A6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6A85AA55" w14:textId="77777777" w:rsidR="00D8135B" w:rsidRPr="00D8135B" w:rsidRDefault="00D8135B" w:rsidP="00D8135B">
            <w:pPr>
              <w:spacing w:after="0" w:line="240" w:lineRule="auto"/>
              <w:jc w:val="center"/>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gridSpan w:val="2"/>
            <w:tcBorders>
              <w:bottom w:val="single" w:sz="12" w:space="0" w:color="000000"/>
            </w:tcBorders>
            <w:shd w:val="clear" w:color="auto" w:fill="FFFFFF" w:themeFill="background1"/>
            <w:vAlign w:val="bottom"/>
            <w:hideMark/>
          </w:tcPr>
          <w:p w14:paraId="24E47950" w14:textId="77777777" w:rsidR="00D8135B" w:rsidRPr="00D8135B" w:rsidRDefault="00D8135B" w:rsidP="00D8135B">
            <w:pPr>
              <w:spacing w:after="0" w:line="240" w:lineRule="auto"/>
              <w:jc w:val="center"/>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2024</w:t>
            </w:r>
          </w:p>
        </w:tc>
        <w:tc>
          <w:tcPr>
            <w:tcW w:w="0" w:type="auto"/>
            <w:shd w:val="clear" w:color="auto" w:fill="FFFFFF" w:themeFill="background1"/>
            <w:tcMar>
              <w:top w:w="0" w:type="dxa"/>
              <w:left w:w="0" w:type="dxa"/>
              <w:bottom w:w="30" w:type="dxa"/>
              <w:right w:w="0" w:type="dxa"/>
            </w:tcMar>
            <w:vAlign w:val="bottom"/>
            <w:hideMark/>
          </w:tcPr>
          <w:p w14:paraId="6C0EC442" w14:textId="77777777" w:rsidR="00D8135B" w:rsidRPr="00D8135B" w:rsidRDefault="00D8135B" w:rsidP="00D8135B">
            <w:pPr>
              <w:spacing w:after="0" w:line="240" w:lineRule="auto"/>
              <w:jc w:val="center"/>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0D8BFBC9" w14:textId="77777777" w:rsidR="00D8135B" w:rsidRPr="00D8135B" w:rsidRDefault="00D8135B" w:rsidP="00D8135B">
            <w:pPr>
              <w:spacing w:after="0" w:line="240" w:lineRule="auto"/>
              <w:jc w:val="center"/>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gridSpan w:val="2"/>
            <w:tcBorders>
              <w:bottom w:val="single" w:sz="12" w:space="0" w:color="000000"/>
            </w:tcBorders>
            <w:shd w:val="clear" w:color="auto" w:fill="FFFFFF" w:themeFill="background1"/>
            <w:vAlign w:val="bottom"/>
            <w:hideMark/>
          </w:tcPr>
          <w:p w14:paraId="4E46FF66" w14:textId="77777777" w:rsidR="00D8135B" w:rsidRPr="00D8135B" w:rsidRDefault="00D8135B" w:rsidP="00D8135B">
            <w:pPr>
              <w:spacing w:after="0" w:line="240" w:lineRule="auto"/>
              <w:jc w:val="center"/>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2023</w:t>
            </w:r>
          </w:p>
        </w:tc>
        <w:tc>
          <w:tcPr>
            <w:tcW w:w="0" w:type="auto"/>
            <w:shd w:val="clear" w:color="auto" w:fill="FFFFFF" w:themeFill="background1"/>
            <w:tcMar>
              <w:top w:w="0" w:type="dxa"/>
              <w:left w:w="0" w:type="dxa"/>
              <w:bottom w:w="30" w:type="dxa"/>
              <w:right w:w="0" w:type="dxa"/>
            </w:tcMar>
            <w:vAlign w:val="bottom"/>
            <w:hideMark/>
          </w:tcPr>
          <w:p w14:paraId="14C0BA6F" w14:textId="77777777" w:rsidR="00D8135B" w:rsidRPr="00D8135B" w:rsidRDefault="00D8135B" w:rsidP="00D8135B">
            <w:pPr>
              <w:spacing w:after="0" w:line="240" w:lineRule="auto"/>
              <w:jc w:val="center"/>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r>
      <w:tr w:rsidR="00D8135B" w:rsidRPr="00D8135B" w14:paraId="40F8B8C1" w14:textId="77777777" w:rsidTr="002534CB">
        <w:tc>
          <w:tcPr>
            <w:tcW w:w="0" w:type="auto"/>
            <w:shd w:val="clear" w:color="auto" w:fill="FFFFFF" w:themeFill="background1"/>
            <w:vAlign w:val="bottom"/>
            <w:hideMark/>
          </w:tcPr>
          <w:p w14:paraId="2A0FB568"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7AF120D" w14:textId="77777777" w:rsidR="00D8135B" w:rsidRPr="00D8135B" w:rsidRDefault="00D8135B" w:rsidP="00D8135B">
            <w:pPr>
              <w:spacing w:after="0" w:line="240" w:lineRule="auto"/>
              <w:jc w:val="center"/>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gridSpan w:val="2"/>
            <w:shd w:val="clear" w:color="auto" w:fill="FFFFFF" w:themeFill="background1"/>
            <w:vAlign w:val="bottom"/>
            <w:hideMark/>
          </w:tcPr>
          <w:p w14:paraId="52544A33" w14:textId="77777777" w:rsidR="00D8135B" w:rsidRPr="00D8135B" w:rsidRDefault="00D8135B" w:rsidP="00D8135B">
            <w:pPr>
              <w:spacing w:after="0" w:line="240" w:lineRule="auto"/>
              <w:jc w:val="center"/>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6AF5954" w14:textId="77777777" w:rsidR="00D8135B" w:rsidRPr="00D8135B" w:rsidRDefault="00D8135B" w:rsidP="00D8135B">
            <w:pPr>
              <w:spacing w:after="0" w:line="240" w:lineRule="auto"/>
              <w:jc w:val="center"/>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00293FB" w14:textId="77777777" w:rsidR="00D8135B" w:rsidRPr="00D8135B" w:rsidRDefault="00D8135B" w:rsidP="00D8135B">
            <w:pPr>
              <w:spacing w:after="0" w:line="240" w:lineRule="auto"/>
              <w:jc w:val="center"/>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gridSpan w:val="2"/>
            <w:shd w:val="clear" w:color="auto" w:fill="FFFFFF" w:themeFill="background1"/>
            <w:vAlign w:val="bottom"/>
            <w:hideMark/>
          </w:tcPr>
          <w:p w14:paraId="4DF3BAF5" w14:textId="77777777" w:rsidR="00D8135B" w:rsidRPr="00D8135B" w:rsidRDefault="00D8135B" w:rsidP="00D8135B">
            <w:pPr>
              <w:spacing w:after="0" w:line="240" w:lineRule="auto"/>
              <w:jc w:val="center"/>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A581A61" w14:textId="77777777" w:rsidR="00D8135B" w:rsidRPr="00D8135B" w:rsidRDefault="00D8135B" w:rsidP="00D8135B">
            <w:pPr>
              <w:spacing w:after="0" w:line="240" w:lineRule="auto"/>
              <w:jc w:val="center"/>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23033FB8" w14:textId="77777777" w:rsidTr="002534CB">
        <w:tc>
          <w:tcPr>
            <w:tcW w:w="3200" w:type="pct"/>
            <w:shd w:val="clear" w:color="auto" w:fill="FFFFFF" w:themeFill="background1"/>
            <w:vAlign w:val="bottom"/>
            <w:hideMark/>
          </w:tcPr>
          <w:p w14:paraId="20D4A2D3"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Net Revenue</w:t>
            </w:r>
          </w:p>
        </w:tc>
        <w:tc>
          <w:tcPr>
            <w:tcW w:w="100" w:type="pct"/>
            <w:shd w:val="clear" w:color="auto" w:fill="FFFFFF" w:themeFill="background1"/>
            <w:vAlign w:val="bottom"/>
            <w:hideMark/>
          </w:tcPr>
          <w:p w14:paraId="187742E9"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50" w:type="pct"/>
            <w:shd w:val="clear" w:color="auto" w:fill="FFFFFF" w:themeFill="background1"/>
            <w:vAlign w:val="bottom"/>
            <w:hideMark/>
          </w:tcPr>
          <w:p w14:paraId="324E9859"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w:t>
            </w:r>
          </w:p>
        </w:tc>
        <w:tc>
          <w:tcPr>
            <w:tcW w:w="700" w:type="pct"/>
            <w:shd w:val="clear" w:color="auto" w:fill="FFFFFF" w:themeFill="background1"/>
            <w:vAlign w:val="bottom"/>
            <w:hideMark/>
          </w:tcPr>
          <w:p w14:paraId="0C374E8D"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18,536,638</w:t>
            </w:r>
          </w:p>
        </w:tc>
        <w:tc>
          <w:tcPr>
            <w:tcW w:w="50" w:type="pct"/>
            <w:shd w:val="clear" w:color="auto" w:fill="FFFFFF" w:themeFill="background1"/>
            <w:vAlign w:val="bottom"/>
            <w:hideMark/>
          </w:tcPr>
          <w:p w14:paraId="40CD1DE3"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100" w:type="pct"/>
            <w:shd w:val="clear" w:color="auto" w:fill="FFFFFF" w:themeFill="background1"/>
            <w:vAlign w:val="bottom"/>
            <w:hideMark/>
          </w:tcPr>
          <w:p w14:paraId="18005CD1"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50" w:type="pct"/>
            <w:shd w:val="clear" w:color="auto" w:fill="FFFFFF" w:themeFill="background1"/>
            <w:vAlign w:val="bottom"/>
            <w:hideMark/>
          </w:tcPr>
          <w:p w14:paraId="60F57F1D"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w:t>
            </w:r>
          </w:p>
        </w:tc>
        <w:tc>
          <w:tcPr>
            <w:tcW w:w="700" w:type="pct"/>
            <w:shd w:val="clear" w:color="auto" w:fill="FFFFFF" w:themeFill="background1"/>
            <w:vAlign w:val="bottom"/>
            <w:hideMark/>
          </w:tcPr>
          <w:p w14:paraId="451A566C"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15,521,917</w:t>
            </w:r>
          </w:p>
        </w:tc>
        <w:tc>
          <w:tcPr>
            <w:tcW w:w="50" w:type="pct"/>
            <w:shd w:val="clear" w:color="auto" w:fill="FFFFFF" w:themeFill="background1"/>
            <w:vAlign w:val="bottom"/>
            <w:hideMark/>
          </w:tcPr>
          <w:p w14:paraId="1E7253BD"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r>
      <w:tr w:rsidR="00D8135B" w:rsidRPr="00D8135B" w14:paraId="084F40B8" w14:textId="77777777" w:rsidTr="002534CB">
        <w:tc>
          <w:tcPr>
            <w:tcW w:w="0" w:type="auto"/>
            <w:shd w:val="clear" w:color="auto" w:fill="FFFFFF" w:themeFill="background1"/>
            <w:vAlign w:val="bottom"/>
            <w:hideMark/>
          </w:tcPr>
          <w:p w14:paraId="4EB04950"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BF9693D"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A472793"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6C5E0C8"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04D4334"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F1806F8"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7D03336"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9494D4D"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C273CAA"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5470F4C8" w14:textId="77777777" w:rsidTr="002534CB">
        <w:tc>
          <w:tcPr>
            <w:tcW w:w="0" w:type="auto"/>
            <w:shd w:val="clear" w:color="auto" w:fill="FFFFFF" w:themeFill="background1"/>
            <w:tcMar>
              <w:top w:w="0" w:type="dxa"/>
              <w:left w:w="0" w:type="dxa"/>
              <w:bottom w:w="30" w:type="dxa"/>
              <w:right w:w="0" w:type="dxa"/>
            </w:tcMar>
            <w:vAlign w:val="bottom"/>
            <w:hideMark/>
          </w:tcPr>
          <w:p w14:paraId="6372892A"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Cost of goods sold</w:t>
            </w:r>
          </w:p>
        </w:tc>
        <w:tc>
          <w:tcPr>
            <w:tcW w:w="0" w:type="auto"/>
            <w:shd w:val="clear" w:color="auto" w:fill="FFFFFF" w:themeFill="background1"/>
            <w:tcMar>
              <w:top w:w="0" w:type="dxa"/>
              <w:left w:w="0" w:type="dxa"/>
              <w:bottom w:w="30" w:type="dxa"/>
              <w:right w:w="0" w:type="dxa"/>
            </w:tcMar>
            <w:vAlign w:val="bottom"/>
            <w:hideMark/>
          </w:tcPr>
          <w:p w14:paraId="3C05048C"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278C451B"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4B43D2E8"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1,890,046</w:t>
            </w:r>
          </w:p>
        </w:tc>
        <w:tc>
          <w:tcPr>
            <w:tcW w:w="0" w:type="auto"/>
            <w:shd w:val="clear" w:color="auto" w:fill="FFFFFF" w:themeFill="background1"/>
            <w:tcMar>
              <w:top w:w="0" w:type="dxa"/>
              <w:left w:w="0" w:type="dxa"/>
              <w:bottom w:w="30" w:type="dxa"/>
              <w:right w:w="0" w:type="dxa"/>
            </w:tcMar>
            <w:vAlign w:val="bottom"/>
            <w:hideMark/>
          </w:tcPr>
          <w:p w14:paraId="03FEEDAB"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65F0755D"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54D34C1F"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491C2B36"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2,125,659</w:t>
            </w:r>
          </w:p>
        </w:tc>
        <w:tc>
          <w:tcPr>
            <w:tcW w:w="0" w:type="auto"/>
            <w:shd w:val="clear" w:color="auto" w:fill="FFFFFF" w:themeFill="background1"/>
            <w:tcMar>
              <w:top w:w="0" w:type="dxa"/>
              <w:left w:w="0" w:type="dxa"/>
              <w:bottom w:w="30" w:type="dxa"/>
              <w:right w:w="0" w:type="dxa"/>
            </w:tcMar>
            <w:vAlign w:val="bottom"/>
            <w:hideMark/>
          </w:tcPr>
          <w:p w14:paraId="58B28A50"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r>
      <w:tr w:rsidR="00D8135B" w:rsidRPr="00D8135B" w14:paraId="395C873F" w14:textId="77777777" w:rsidTr="002534CB">
        <w:tc>
          <w:tcPr>
            <w:tcW w:w="0" w:type="auto"/>
            <w:shd w:val="clear" w:color="auto" w:fill="FFFFFF" w:themeFill="background1"/>
            <w:vAlign w:val="bottom"/>
            <w:hideMark/>
          </w:tcPr>
          <w:p w14:paraId="0C6B6EB5"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082C543"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3D654F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0862EFE"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6C5A701"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7A4BE50"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625BA95"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073D6D3"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7051753"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1274C953" w14:textId="77777777" w:rsidTr="002534CB">
        <w:tc>
          <w:tcPr>
            <w:tcW w:w="0" w:type="auto"/>
            <w:shd w:val="clear" w:color="auto" w:fill="FFFFFF" w:themeFill="background1"/>
            <w:tcMar>
              <w:top w:w="0" w:type="dxa"/>
              <w:left w:w="0" w:type="dxa"/>
              <w:bottom w:w="30" w:type="dxa"/>
              <w:right w:w="0" w:type="dxa"/>
            </w:tcMar>
            <w:vAlign w:val="bottom"/>
            <w:hideMark/>
          </w:tcPr>
          <w:p w14:paraId="2DBD494A"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Gross profit</w:t>
            </w:r>
          </w:p>
        </w:tc>
        <w:tc>
          <w:tcPr>
            <w:tcW w:w="0" w:type="auto"/>
            <w:shd w:val="clear" w:color="auto" w:fill="FFFFFF" w:themeFill="background1"/>
            <w:tcMar>
              <w:top w:w="0" w:type="dxa"/>
              <w:left w:w="0" w:type="dxa"/>
              <w:bottom w:w="30" w:type="dxa"/>
              <w:right w:w="0" w:type="dxa"/>
            </w:tcMar>
            <w:vAlign w:val="bottom"/>
            <w:hideMark/>
          </w:tcPr>
          <w:p w14:paraId="51B167B6"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1DE48411"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2AB3692"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16,646,592</w:t>
            </w:r>
          </w:p>
        </w:tc>
        <w:tc>
          <w:tcPr>
            <w:tcW w:w="0" w:type="auto"/>
            <w:shd w:val="clear" w:color="auto" w:fill="FFFFFF" w:themeFill="background1"/>
            <w:tcMar>
              <w:top w:w="0" w:type="dxa"/>
              <w:left w:w="0" w:type="dxa"/>
              <w:bottom w:w="30" w:type="dxa"/>
              <w:right w:w="0" w:type="dxa"/>
            </w:tcMar>
            <w:vAlign w:val="bottom"/>
            <w:hideMark/>
          </w:tcPr>
          <w:p w14:paraId="5D597A4B"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4CB587BB"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B24EDC4"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02C27A6F"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13,396,258</w:t>
            </w:r>
          </w:p>
        </w:tc>
        <w:tc>
          <w:tcPr>
            <w:tcW w:w="0" w:type="auto"/>
            <w:shd w:val="clear" w:color="auto" w:fill="FFFFFF" w:themeFill="background1"/>
            <w:tcMar>
              <w:top w:w="0" w:type="dxa"/>
              <w:left w:w="0" w:type="dxa"/>
              <w:bottom w:w="30" w:type="dxa"/>
              <w:right w:w="0" w:type="dxa"/>
            </w:tcMar>
            <w:vAlign w:val="bottom"/>
            <w:hideMark/>
          </w:tcPr>
          <w:p w14:paraId="79DF9C1C"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r>
      <w:tr w:rsidR="00D8135B" w:rsidRPr="00D8135B" w14:paraId="120359CE" w14:textId="77777777" w:rsidTr="002534CB">
        <w:tc>
          <w:tcPr>
            <w:tcW w:w="0" w:type="auto"/>
            <w:shd w:val="clear" w:color="auto" w:fill="FFFFFF" w:themeFill="background1"/>
            <w:vAlign w:val="bottom"/>
            <w:hideMark/>
          </w:tcPr>
          <w:p w14:paraId="255C35F8"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D8F2323"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743F0D2"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47A92D6"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D6000D2"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70C5366"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EE86B7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56F6E01"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EDBD190"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2441D0E7" w14:textId="77777777" w:rsidTr="002534CB">
        <w:tc>
          <w:tcPr>
            <w:tcW w:w="0" w:type="auto"/>
            <w:shd w:val="clear" w:color="auto" w:fill="FFFFFF" w:themeFill="background1"/>
            <w:vAlign w:val="bottom"/>
            <w:hideMark/>
          </w:tcPr>
          <w:p w14:paraId="2598FB2B"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Operating expenses</w:t>
            </w:r>
          </w:p>
        </w:tc>
        <w:tc>
          <w:tcPr>
            <w:tcW w:w="0" w:type="auto"/>
            <w:shd w:val="clear" w:color="auto" w:fill="FFFFFF" w:themeFill="background1"/>
            <w:vAlign w:val="bottom"/>
            <w:hideMark/>
          </w:tcPr>
          <w:p w14:paraId="78E87776"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93BD7B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7CF460B"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5BF0789"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C90F00E"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F562864"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7588654"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A26240C"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56B5A4F9" w14:textId="77777777" w:rsidTr="002534CB">
        <w:tc>
          <w:tcPr>
            <w:tcW w:w="0" w:type="auto"/>
            <w:shd w:val="clear" w:color="auto" w:fill="FFFFFF" w:themeFill="background1"/>
            <w:tcMar>
              <w:top w:w="0" w:type="dxa"/>
              <w:left w:w="200" w:type="dxa"/>
              <w:bottom w:w="0" w:type="dxa"/>
              <w:right w:w="0" w:type="dxa"/>
            </w:tcMar>
            <w:vAlign w:val="bottom"/>
            <w:hideMark/>
          </w:tcPr>
          <w:p w14:paraId="0BF8012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Selling, general and administrative expenses</w:t>
            </w:r>
          </w:p>
        </w:tc>
        <w:tc>
          <w:tcPr>
            <w:tcW w:w="0" w:type="auto"/>
            <w:shd w:val="clear" w:color="auto" w:fill="FFFFFF" w:themeFill="background1"/>
            <w:vAlign w:val="bottom"/>
            <w:hideMark/>
          </w:tcPr>
          <w:p w14:paraId="44517A8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4D677D2"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2BF608C"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16,192,259</w:t>
            </w:r>
          </w:p>
        </w:tc>
        <w:tc>
          <w:tcPr>
            <w:tcW w:w="0" w:type="auto"/>
            <w:shd w:val="clear" w:color="auto" w:fill="FFFFFF" w:themeFill="background1"/>
            <w:vAlign w:val="bottom"/>
            <w:hideMark/>
          </w:tcPr>
          <w:p w14:paraId="72E7A99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C629BD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E015CC0"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54FFCD5"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12,969,069</w:t>
            </w:r>
          </w:p>
        </w:tc>
        <w:tc>
          <w:tcPr>
            <w:tcW w:w="0" w:type="auto"/>
            <w:shd w:val="clear" w:color="auto" w:fill="FFFFFF" w:themeFill="background1"/>
            <w:vAlign w:val="bottom"/>
            <w:hideMark/>
          </w:tcPr>
          <w:p w14:paraId="68A32B01"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4BA678CB" w14:textId="77777777" w:rsidTr="002534CB">
        <w:tc>
          <w:tcPr>
            <w:tcW w:w="0" w:type="auto"/>
            <w:shd w:val="clear" w:color="auto" w:fill="FFFFFF" w:themeFill="background1"/>
            <w:tcMar>
              <w:top w:w="0" w:type="dxa"/>
              <w:left w:w="200" w:type="dxa"/>
              <w:bottom w:w="0" w:type="dxa"/>
              <w:right w:w="0" w:type="dxa"/>
            </w:tcMar>
            <w:vAlign w:val="bottom"/>
            <w:hideMark/>
          </w:tcPr>
          <w:p w14:paraId="1186B59C"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Research and development</w:t>
            </w:r>
          </w:p>
        </w:tc>
        <w:tc>
          <w:tcPr>
            <w:tcW w:w="0" w:type="auto"/>
            <w:shd w:val="clear" w:color="auto" w:fill="FFFFFF" w:themeFill="background1"/>
            <w:vAlign w:val="bottom"/>
            <w:hideMark/>
          </w:tcPr>
          <w:p w14:paraId="77F1CA48"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1EA173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C89FBA3"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946,298</w:t>
            </w:r>
          </w:p>
        </w:tc>
        <w:tc>
          <w:tcPr>
            <w:tcW w:w="0" w:type="auto"/>
            <w:shd w:val="clear" w:color="auto" w:fill="FFFFFF" w:themeFill="background1"/>
            <w:vAlign w:val="bottom"/>
            <w:hideMark/>
          </w:tcPr>
          <w:p w14:paraId="348787D0"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E720A1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7FA9BF5"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43DB9EE"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1,317,324</w:t>
            </w:r>
          </w:p>
        </w:tc>
        <w:tc>
          <w:tcPr>
            <w:tcW w:w="0" w:type="auto"/>
            <w:shd w:val="clear" w:color="auto" w:fill="FFFFFF" w:themeFill="background1"/>
            <w:vAlign w:val="bottom"/>
            <w:hideMark/>
          </w:tcPr>
          <w:p w14:paraId="3F12B494"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005EBF7F" w14:textId="77777777" w:rsidTr="002534CB">
        <w:tc>
          <w:tcPr>
            <w:tcW w:w="0" w:type="auto"/>
            <w:shd w:val="clear" w:color="auto" w:fill="FFFFFF" w:themeFill="background1"/>
            <w:tcMar>
              <w:top w:w="0" w:type="dxa"/>
              <w:left w:w="200" w:type="dxa"/>
              <w:bottom w:w="0" w:type="dxa"/>
              <w:right w:w="0" w:type="dxa"/>
            </w:tcMar>
            <w:vAlign w:val="bottom"/>
            <w:hideMark/>
          </w:tcPr>
          <w:p w14:paraId="4C74D438"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Depreciation and amortization</w:t>
            </w:r>
          </w:p>
        </w:tc>
        <w:tc>
          <w:tcPr>
            <w:tcW w:w="0" w:type="auto"/>
            <w:shd w:val="clear" w:color="auto" w:fill="FFFFFF" w:themeFill="background1"/>
            <w:vAlign w:val="bottom"/>
            <w:hideMark/>
          </w:tcPr>
          <w:p w14:paraId="38FE4555"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DB69151"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FF1962F"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1,105,420</w:t>
            </w:r>
          </w:p>
        </w:tc>
        <w:tc>
          <w:tcPr>
            <w:tcW w:w="0" w:type="auto"/>
            <w:shd w:val="clear" w:color="auto" w:fill="FFFFFF" w:themeFill="background1"/>
            <w:vAlign w:val="bottom"/>
            <w:hideMark/>
          </w:tcPr>
          <w:p w14:paraId="621B6708"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04C9591"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512B89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A403552"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778,875</w:t>
            </w:r>
          </w:p>
        </w:tc>
        <w:tc>
          <w:tcPr>
            <w:tcW w:w="0" w:type="auto"/>
            <w:shd w:val="clear" w:color="auto" w:fill="FFFFFF" w:themeFill="background1"/>
            <w:vAlign w:val="bottom"/>
            <w:hideMark/>
          </w:tcPr>
          <w:p w14:paraId="6C4A7B0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09C17933" w14:textId="77777777" w:rsidTr="002534CB">
        <w:tc>
          <w:tcPr>
            <w:tcW w:w="0" w:type="auto"/>
            <w:shd w:val="clear" w:color="auto" w:fill="FFFFFF" w:themeFill="background1"/>
            <w:tcMar>
              <w:top w:w="0" w:type="dxa"/>
              <w:left w:w="200" w:type="dxa"/>
              <w:bottom w:w="30" w:type="dxa"/>
              <w:right w:w="0" w:type="dxa"/>
            </w:tcMar>
            <w:vAlign w:val="bottom"/>
            <w:hideMark/>
          </w:tcPr>
          <w:p w14:paraId="4DE519A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Change in fair value of earnout liabilities</w:t>
            </w:r>
          </w:p>
        </w:tc>
        <w:tc>
          <w:tcPr>
            <w:tcW w:w="0" w:type="auto"/>
            <w:shd w:val="clear" w:color="auto" w:fill="FFFFFF" w:themeFill="background1"/>
            <w:tcMar>
              <w:top w:w="0" w:type="dxa"/>
              <w:left w:w="0" w:type="dxa"/>
              <w:bottom w:w="30" w:type="dxa"/>
              <w:right w:w="0" w:type="dxa"/>
            </w:tcMar>
            <w:vAlign w:val="bottom"/>
            <w:hideMark/>
          </w:tcPr>
          <w:p w14:paraId="6916873E"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204F40C0"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1B73B675"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(65,678</w:t>
            </w:r>
          </w:p>
        </w:tc>
        <w:tc>
          <w:tcPr>
            <w:tcW w:w="0" w:type="auto"/>
            <w:shd w:val="clear" w:color="auto" w:fill="FFFFFF" w:themeFill="background1"/>
            <w:tcMar>
              <w:top w:w="0" w:type="dxa"/>
              <w:left w:w="0" w:type="dxa"/>
              <w:bottom w:w="30" w:type="dxa"/>
              <w:right w:w="0" w:type="dxa"/>
            </w:tcMar>
            <w:vAlign w:val="bottom"/>
            <w:hideMark/>
          </w:tcPr>
          <w:p w14:paraId="412B5C8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37897F76"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30EB923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5855BC65"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(452,687</w:t>
            </w:r>
          </w:p>
        </w:tc>
        <w:tc>
          <w:tcPr>
            <w:tcW w:w="0" w:type="auto"/>
            <w:shd w:val="clear" w:color="auto" w:fill="FFFFFF" w:themeFill="background1"/>
            <w:tcMar>
              <w:top w:w="0" w:type="dxa"/>
              <w:left w:w="0" w:type="dxa"/>
              <w:bottom w:w="30" w:type="dxa"/>
              <w:right w:w="0" w:type="dxa"/>
            </w:tcMar>
            <w:vAlign w:val="bottom"/>
            <w:hideMark/>
          </w:tcPr>
          <w:p w14:paraId="6C295C29"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w:t>
            </w:r>
          </w:p>
        </w:tc>
      </w:tr>
      <w:tr w:rsidR="00D8135B" w:rsidRPr="00D8135B" w14:paraId="469EA022" w14:textId="77777777" w:rsidTr="002534CB">
        <w:tc>
          <w:tcPr>
            <w:tcW w:w="0" w:type="auto"/>
            <w:shd w:val="clear" w:color="auto" w:fill="FFFFFF" w:themeFill="background1"/>
            <w:tcMar>
              <w:top w:w="0" w:type="dxa"/>
              <w:left w:w="0" w:type="dxa"/>
              <w:bottom w:w="30" w:type="dxa"/>
              <w:right w:w="0" w:type="dxa"/>
            </w:tcMar>
            <w:vAlign w:val="bottom"/>
            <w:hideMark/>
          </w:tcPr>
          <w:p w14:paraId="5E534702"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Total operating expenses</w:t>
            </w:r>
          </w:p>
        </w:tc>
        <w:tc>
          <w:tcPr>
            <w:tcW w:w="0" w:type="auto"/>
            <w:shd w:val="clear" w:color="auto" w:fill="FFFFFF" w:themeFill="background1"/>
            <w:tcMar>
              <w:top w:w="0" w:type="dxa"/>
              <w:left w:w="0" w:type="dxa"/>
              <w:bottom w:w="30" w:type="dxa"/>
              <w:right w:w="0" w:type="dxa"/>
            </w:tcMar>
            <w:vAlign w:val="bottom"/>
            <w:hideMark/>
          </w:tcPr>
          <w:p w14:paraId="3BD7FB62"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7D3A867"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3DF07466"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18,178,299</w:t>
            </w:r>
          </w:p>
        </w:tc>
        <w:tc>
          <w:tcPr>
            <w:tcW w:w="0" w:type="auto"/>
            <w:shd w:val="clear" w:color="auto" w:fill="FFFFFF" w:themeFill="background1"/>
            <w:tcMar>
              <w:top w:w="0" w:type="dxa"/>
              <w:left w:w="0" w:type="dxa"/>
              <w:bottom w:w="30" w:type="dxa"/>
              <w:right w:w="0" w:type="dxa"/>
            </w:tcMar>
            <w:vAlign w:val="bottom"/>
            <w:hideMark/>
          </w:tcPr>
          <w:p w14:paraId="4CAE45FE"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54C0126A"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78F50FC"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0022C3A5"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14,612,581</w:t>
            </w:r>
          </w:p>
        </w:tc>
        <w:tc>
          <w:tcPr>
            <w:tcW w:w="0" w:type="auto"/>
            <w:shd w:val="clear" w:color="auto" w:fill="FFFFFF" w:themeFill="background1"/>
            <w:tcMar>
              <w:top w:w="0" w:type="dxa"/>
              <w:left w:w="0" w:type="dxa"/>
              <w:bottom w:w="30" w:type="dxa"/>
              <w:right w:w="0" w:type="dxa"/>
            </w:tcMar>
            <w:vAlign w:val="bottom"/>
            <w:hideMark/>
          </w:tcPr>
          <w:p w14:paraId="50B83A3A"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r>
      <w:tr w:rsidR="00D8135B" w:rsidRPr="00D8135B" w14:paraId="16741FF3" w14:textId="77777777" w:rsidTr="002534CB">
        <w:tc>
          <w:tcPr>
            <w:tcW w:w="0" w:type="auto"/>
            <w:shd w:val="clear" w:color="auto" w:fill="FFFFFF" w:themeFill="background1"/>
            <w:vAlign w:val="bottom"/>
            <w:hideMark/>
          </w:tcPr>
          <w:p w14:paraId="4E721124"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9087549"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48837E1"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8D47BB9"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A9B188A"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B091FAE"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8111CDE"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38D5580"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015FC12"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235ED517" w14:textId="77777777" w:rsidTr="002534CB">
        <w:tc>
          <w:tcPr>
            <w:tcW w:w="0" w:type="auto"/>
            <w:shd w:val="clear" w:color="auto" w:fill="FFFFFF" w:themeFill="background1"/>
            <w:tcMar>
              <w:top w:w="0" w:type="dxa"/>
              <w:left w:w="0" w:type="dxa"/>
              <w:bottom w:w="30" w:type="dxa"/>
              <w:right w:w="0" w:type="dxa"/>
            </w:tcMar>
            <w:vAlign w:val="bottom"/>
            <w:hideMark/>
          </w:tcPr>
          <w:p w14:paraId="7FFA65D8"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Operating loss</w:t>
            </w:r>
          </w:p>
        </w:tc>
        <w:tc>
          <w:tcPr>
            <w:tcW w:w="0" w:type="auto"/>
            <w:shd w:val="clear" w:color="auto" w:fill="FFFFFF" w:themeFill="background1"/>
            <w:tcMar>
              <w:top w:w="0" w:type="dxa"/>
              <w:left w:w="0" w:type="dxa"/>
              <w:bottom w:w="30" w:type="dxa"/>
              <w:right w:w="0" w:type="dxa"/>
            </w:tcMar>
            <w:vAlign w:val="bottom"/>
            <w:hideMark/>
          </w:tcPr>
          <w:p w14:paraId="442214FE"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A8C221F"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1D05F4E7"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(1,531,707</w:t>
            </w:r>
          </w:p>
        </w:tc>
        <w:tc>
          <w:tcPr>
            <w:tcW w:w="0" w:type="auto"/>
            <w:shd w:val="clear" w:color="auto" w:fill="FFFFFF" w:themeFill="background1"/>
            <w:tcMar>
              <w:top w:w="0" w:type="dxa"/>
              <w:left w:w="0" w:type="dxa"/>
              <w:bottom w:w="30" w:type="dxa"/>
              <w:right w:w="0" w:type="dxa"/>
            </w:tcMar>
            <w:vAlign w:val="bottom"/>
            <w:hideMark/>
          </w:tcPr>
          <w:p w14:paraId="0890FC24"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3D25A9B9"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8ED0455"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7CC20D2"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(1,216,323</w:t>
            </w:r>
          </w:p>
        </w:tc>
        <w:tc>
          <w:tcPr>
            <w:tcW w:w="0" w:type="auto"/>
            <w:shd w:val="clear" w:color="auto" w:fill="FFFFFF" w:themeFill="background1"/>
            <w:tcMar>
              <w:top w:w="0" w:type="dxa"/>
              <w:left w:w="0" w:type="dxa"/>
              <w:bottom w:w="30" w:type="dxa"/>
              <w:right w:w="0" w:type="dxa"/>
            </w:tcMar>
            <w:vAlign w:val="bottom"/>
            <w:hideMark/>
          </w:tcPr>
          <w:p w14:paraId="1D14005E"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w:t>
            </w:r>
          </w:p>
        </w:tc>
      </w:tr>
      <w:tr w:rsidR="00D8135B" w:rsidRPr="00D8135B" w14:paraId="4ADD794B" w14:textId="77777777" w:rsidTr="002534CB">
        <w:tc>
          <w:tcPr>
            <w:tcW w:w="0" w:type="auto"/>
            <w:shd w:val="clear" w:color="auto" w:fill="FFFFFF" w:themeFill="background1"/>
            <w:vAlign w:val="bottom"/>
            <w:hideMark/>
          </w:tcPr>
          <w:p w14:paraId="08219D04"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C9144C6"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C081AC0"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DF701C8"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80C1AD1"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36D9080"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D4D70C4"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EEBE932"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B5DDC69"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623B7A7B" w14:textId="77777777" w:rsidTr="002534CB">
        <w:tc>
          <w:tcPr>
            <w:tcW w:w="0" w:type="auto"/>
            <w:shd w:val="clear" w:color="auto" w:fill="FFFFFF" w:themeFill="background1"/>
            <w:vAlign w:val="bottom"/>
            <w:hideMark/>
          </w:tcPr>
          <w:p w14:paraId="2D830139"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Other expense</w:t>
            </w:r>
          </w:p>
        </w:tc>
        <w:tc>
          <w:tcPr>
            <w:tcW w:w="0" w:type="auto"/>
            <w:shd w:val="clear" w:color="auto" w:fill="FFFFFF" w:themeFill="background1"/>
            <w:vAlign w:val="bottom"/>
            <w:hideMark/>
          </w:tcPr>
          <w:p w14:paraId="15D2AC6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E2D4E00"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B163AA1"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ED40A2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79667F1"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01E4000"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38A035D"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0AFC594"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16A28F26" w14:textId="77777777" w:rsidTr="002534CB">
        <w:tc>
          <w:tcPr>
            <w:tcW w:w="0" w:type="auto"/>
            <w:shd w:val="clear" w:color="auto" w:fill="FFFFFF" w:themeFill="background1"/>
            <w:tcMar>
              <w:top w:w="0" w:type="dxa"/>
              <w:left w:w="200" w:type="dxa"/>
              <w:bottom w:w="30" w:type="dxa"/>
              <w:right w:w="0" w:type="dxa"/>
            </w:tcMar>
            <w:vAlign w:val="bottom"/>
            <w:hideMark/>
          </w:tcPr>
          <w:p w14:paraId="1ED6B7F9"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Interest expense and other</w:t>
            </w:r>
          </w:p>
        </w:tc>
        <w:tc>
          <w:tcPr>
            <w:tcW w:w="0" w:type="auto"/>
            <w:shd w:val="clear" w:color="auto" w:fill="FFFFFF" w:themeFill="background1"/>
            <w:tcMar>
              <w:top w:w="0" w:type="dxa"/>
              <w:left w:w="0" w:type="dxa"/>
              <w:bottom w:w="30" w:type="dxa"/>
              <w:right w:w="0" w:type="dxa"/>
            </w:tcMar>
            <w:vAlign w:val="bottom"/>
            <w:hideMark/>
          </w:tcPr>
          <w:p w14:paraId="2E5C858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2E7B5D1E"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4DB00FE7"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(267,336</w:t>
            </w:r>
          </w:p>
        </w:tc>
        <w:tc>
          <w:tcPr>
            <w:tcW w:w="0" w:type="auto"/>
            <w:shd w:val="clear" w:color="auto" w:fill="FFFFFF" w:themeFill="background1"/>
            <w:tcMar>
              <w:top w:w="0" w:type="dxa"/>
              <w:left w:w="0" w:type="dxa"/>
              <w:bottom w:w="30" w:type="dxa"/>
              <w:right w:w="0" w:type="dxa"/>
            </w:tcMar>
            <w:vAlign w:val="bottom"/>
            <w:hideMark/>
          </w:tcPr>
          <w:p w14:paraId="765F001C"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3594214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0ECDFC1D"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0F4D8B0D"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(6</w:t>
            </w:r>
          </w:p>
        </w:tc>
        <w:tc>
          <w:tcPr>
            <w:tcW w:w="0" w:type="auto"/>
            <w:shd w:val="clear" w:color="auto" w:fill="FFFFFF" w:themeFill="background1"/>
            <w:tcMar>
              <w:top w:w="0" w:type="dxa"/>
              <w:left w:w="0" w:type="dxa"/>
              <w:bottom w:w="30" w:type="dxa"/>
              <w:right w:w="0" w:type="dxa"/>
            </w:tcMar>
            <w:vAlign w:val="bottom"/>
            <w:hideMark/>
          </w:tcPr>
          <w:p w14:paraId="2CDC3323"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w:t>
            </w:r>
          </w:p>
        </w:tc>
      </w:tr>
      <w:tr w:rsidR="00D8135B" w:rsidRPr="00D8135B" w14:paraId="4E4CBB94" w14:textId="77777777" w:rsidTr="002534CB">
        <w:tc>
          <w:tcPr>
            <w:tcW w:w="0" w:type="auto"/>
            <w:shd w:val="clear" w:color="auto" w:fill="FFFFFF" w:themeFill="background1"/>
            <w:tcMar>
              <w:top w:w="0" w:type="dxa"/>
              <w:left w:w="0" w:type="dxa"/>
              <w:bottom w:w="30" w:type="dxa"/>
              <w:right w:w="0" w:type="dxa"/>
            </w:tcMar>
            <w:vAlign w:val="bottom"/>
            <w:hideMark/>
          </w:tcPr>
          <w:p w14:paraId="755A5894"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lastRenderedPageBreak/>
              <w:t>Total other expense</w:t>
            </w:r>
          </w:p>
        </w:tc>
        <w:tc>
          <w:tcPr>
            <w:tcW w:w="0" w:type="auto"/>
            <w:shd w:val="clear" w:color="auto" w:fill="FFFFFF" w:themeFill="background1"/>
            <w:tcMar>
              <w:top w:w="0" w:type="dxa"/>
              <w:left w:w="0" w:type="dxa"/>
              <w:bottom w:w="30" w:type="dxa"/>
              <w:right w:w="0" w:type="dxa"/>
            </w:tcMar>
            <w:vAlign w:val="bottom"/>
            <w:hideMark/>
          </w:tcPr>
          <w:p w14:paraId="26051350"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2BC2AD1F"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6678358F"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(267,336</w:t>
            </w:r>
          </w:p>
        </w:tc>
        <w:tc>
          <w:tcPr>
            <w:tcW w:w="0" w:type="auto"/>
            <w:shd w:val="clear" w:color="auto" w:fill="FFFFFF" w:themeFill="background1"/>
            <w:tcMar>
              <w:top w:w="0" w:type="dxa"/>
              <w:left w:w="0" w:type="dxa"/>
              <w:bottom w:w="30" w:type="dxa"/>
              <w:right w:w="0" w:type="dxa"/>
            </w:tcMar>
            <w:vAlign w:val="bottom"/>
            <w:hideMark/>
          </w:tcPr>
          <w:p w14:paraId="2CAB8ABD"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4BF63BB1"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405CD6A2"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single" w:sz="12" w:space="0" w:color="000000"/>
            </w:tcBorders>
            <w:shd w:val="clear" w:color="auto" w:fill="FFFFFF" w:themeFill="background1"/>
            <w:vAlign w:val="bottom"/>
            <w:hideMark/>
          </w:tcPr>
          <w:p w14:paraId="44A2DCD1"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(6</w:t>
            </w:r>
          </w:p>
        </w:tc>
        <w:tc>
          <w:tcPr>
            <w:tcW w:w="0" w:type="auto"/>
            <w:shd w:val="clear" w:color="auto" w:fill="FFFFFF" w:themeFill="background1"/>
            <w:tcMar>
              <w:top w:w="0" w:type="dxa"/>
              <w:left w:w="0" w:type="dxa"/>
              <w:bottom w:w="30" w:type="dxa"/>
              <w:right w:w="0" w:type="dxa"/>
            </w:tcMar>
            <w:vAlign w:val="bottom"/>
            <w:hideMark/>
          </w:tcPr>
          <w:p w14:paraId="36FE2135"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w:t>
            </w:r>
          </w:p>
        </w:tc>
      </w:tr>
      <w:tr w:rsidR="00D8135B" w:rsidRPr="00D8135B" w14:paraId="5FDD9612" w14:textId="77777777" w:rsidTr="002534CB">
        <w:tc>
          <w:tcPr>
            <w:tcW w:w="0" w:type="auto"/>
            <w:shd w:val="clear" w:color="auto" w:fill="FFFFFF" w:themeFill="background1"/>
            <w:vAlign w:val="bottom"/>
            <w:hideMark/>
          </w:tcPr>
          <w:p w14:paraId="70C507FC"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1D04BFA"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EFF925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D9E9368"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78A01A0"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46D5948"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206BFE6"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7FCC2DC"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6CC1F68"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6D616D9A" w14:textId="77777777" w:rsidTr="002534CB">
        <w:tc>
          <w:tcPr>
            <w:tcW w:w="0" w:type="auto"/>
            <w:shd w:val="clear" w:color="auto" w:fill="FFFFFF" w:themeFill="background1"/>
            <w:vAlign w:val="bottom"/>
            <w:hideMark/>
          </w:tcPr>
          <w:p w14:paraId="52D320B5"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Net loss</w:t>
            </w:r>
          </w:p>
        </w:tc>
        <w:tc>
          <w:tcPr>
            <w:tcW w:w="0" w:type="auto"/>
            <w:shd w:val="clear" w:color="auto" w:fill="FFFFFF" w:themeFill="background1"/>
            <w:vAlign w:val="bottom"/>
            <w:hideMark/>
          </w:tcPr>
          <w:p w14:paraId="089A9660"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shd w:val="clear" w:color="auto" w:fill="FFFFFF" w:themeFill="background1"/>
            <w:vAlign w:val="bottom"/>
            <w:hideMark/>
          </w:tcPr>
          <w:p w14:paraId="2D879374"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shd w:val="clear" w:color="auto" w:fill="FFFFFF" w:themeFill="background1"/>
            <w:vAlign w:val="bottom"/>
            <w:hideMark/>
          </w:tcPr>
          <w:p w14:paraId="453093EB"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(1,799,043</w:t>
            </w:r>
          </w:p>
        </w:tc>
        <w:tc>
          <w:tcPr>
            <w:tcW w:w="0" w:type="auto"/>
            <w:shd w:val="clear" w:color="auto" w:fill="FFFFFF" w:themeFill="background1"/>
            <w:vAlign w:val="bottom"/>
            <w:hideMark/>
          </w:tcPr>
          <w:p w14:paraId="73A782D9"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w:t>
            </w:r>
          </w:p>
        </w:tc>
        <w:tc>
          <w:tcPr>
            <w:tcW w:w="0" w:type="auto"/>
            <w:shd w:val="clear" w:color="auto" w:fill="FFFFFF" w:themeFill="background1"/>
            <w:vAlign w:val="bottom"/>
            <w:hideMark/>
          </w:tcPr>
          <w:p w14:paraId="7C53AEEC"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shd w:val="clear" w:color="auto" w:fill="FFFFFF" w:themeFill="background1"/>
            <w:vAlign w:val="bottom"/>
            <w:hideMark/>
          </w:tcPr>
          <w:p w14:paraId="316A89BF"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shd w:val="clear" w:color="auto" w:fill="FFFFFF" w:themeFill="background1"/>
            <w:vAlign w:val="bottom"/>
            <w:hideMark/>
          </w:tcPr>
          <w:p w14:paraId="5F334185"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(1,216,329</w:t>
            </w:r>
          </w:p>
        </w:tc>
        <w:tc>
          <w:tcPr>
            <w:tcW w:w="0" w:type="auto"/>
            <w:shd w:val="clear" w:color="auto" w:fill="FFFFFF" w:themeFill="background1"/>
            <w:vAlign w:val="bottom"/>
            <w:hideMark/>
          </w:tcPr>
          <w:p w14:paraId="4C65830D"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w:t>
            </w:r>
          </w:p>
        </w:tc>
      </w:tr>
      <w:tr w:rsidR="00D8135B" w:rsidRPr="00D8135B" w14:paraId="33A0E808" w14:textId="77777777" w:rsidTr="002534CB">
        <w:tc>
          <w:tcPr>
            <w:tcW w:w="0" w:type="auto"/>
            <w:shd w:val="clear" w:color="auto" w:fill="FFFFFF" w:themeFill="background1"/>
            <w:vAlign w:val="bottom"/>
            <w:hideMark/>
          </w:tcPr>
          <w:p w14:paraId="4DB68BA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F187648"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87EA896"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E1642DB"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70FA685"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E7429C9"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973EC53"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F3DD9A2"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2D2FF82"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777645CD" w14:textId="77777777" w:rsidTr="002534CB">
        <w:tc>
          <w:tcPr>
            <w:tcW w:w="0" w:type="auto"/>
            <w:shd w:val="clear" w:color="auto" w:fill="FFFFFF" w:themeFill="background1"/>
            <w:tcMar>
              <w:top w:w="0" w:type="dxa"/>
              <w:left w:w="200" w:type="dxa"/>
              <w:bottom w:w="30" w:type="dxa"/>
              <w:right w:w="0" w:type="dxa"/>
            </w:tcMar>
            <w:vAlign w:val="bottom"/>
            <w:hideMark/>
          </w:tcPr>
          <w:p w14:paraId="3EF25186"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Less: Net loss attributable to noncontrolling interest</w:t>
            </w:r>
          </w:p>
        </w:tc>
        <w:tc>
          <w:tcPr>
            <w:tcW w:w="0" w:type="auto"/>
            <w:shd w:val="clear" w:color="auto" w:fill="FFFFFF" w:themeFill="background1"/>
            <w:tcMar>
              <w:top w:w="0" w:type="dxa"/>
              <w:left w:w="0" w:type="dxa"/>
              <w:bottom w:w="30" w:type="dxa"/>
              <w:right w:w="0" w:type="dxa"/>
            </w:tcMar>
            <w:vAlign w:val="bottom"/>
            <w:hideMark/>
          </w:tcPr>
          <w:p w14:paraId="712E5A9E"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1A57508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22B9A2C3"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(34,859</w:t>
            </w:r>
          </w:p>
        </w:tc>
        <w:tc>
          <w:tcPr>
            <w:tcW w:w="0" w:type="auto"/>
            <w:shd w:val="clear" w:color="auto" w:fill="FFFFFF" w:themeFill="background1"/>
            <w:tcMar>
              <w:top w:w="0" w:type="dxa"/>
              <w:left w:w="0" w:type="dxa"/>
              <w:bottom w:w="30" w:type="dxa"/>
              <w:right w:w="0" w:type="dxa"/>
            </w:tcMar>
            <w:vAlign w:val="bottom"/>
            <w:hideMark/>
          </w:tcPr>
          <w:p w14:paraId="46A5EA82"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662244A2"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4BAFD8A9"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3417B51F"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(38,429</w:t>
            </w:r>
          </w:p>
        </w:tc>
        <w:tc>
          <w:tcPr>
            <w:tcW w:w="0" w:type="auto"/>
            <w:shd w:val="clear" w:color="auto" w:fill="FFFFFF" w:themeFill="background1"/>
            <w:tcMar>
              <w:top w:w="0" w:type="dxa"/>
              <w:left w:w="0" w:type="dxa"/>
              <w:bottom w:w="30" w:type="dxa"/>
              <w:right w:w="0" w:type="dxa"/>
            </w:tcMar>
            <w:vAlign w:val="bottom"/>
            <w:hideMark/>
          </w:tcPr>
          <w:p w14:paraId="0C8C250E"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w:t>
            </w:r>
          </w:p>
        </w:tc>
      </w:tr>
      <w:tr w:rsidR="00D8135B" w:rsidRPr="00D8135B" w14:paraId="3688BC7B" w14:textId="77777777" w:rsidTr="002534CB">
        <w:tc>
          <w:tcPr>
            <w:tcW w:w="0" w:type="auto"/>
            <w:shd w:val="clear" w:color="auto" w:fill="FFFFFF" w:themeFill="background1"/>
            <w:vAlign w:val="bottom"/>
            <w:hideMark/>
          </w:tcPr>
          <w:p w14:paraId="0F60C0C3"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DCFB2EA"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40F65B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DBE0BDA"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ED9731A"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7217C2C"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AA561A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5A009F4"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7AA97A8"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45801E3D" w14:textId="77777777" w:rsidTr="002534CB">
        <w:tc>
          <w:tcPr>
            <w:tcW w:w="0" w:type="auto"/>
            <w:shd w:val="clear" w:color="auto" w:fill="FFFFFF" w:themeFill="background1"/>
            <w:tcMar>
              <w:top w:w="0" w:type="dxa"/>
              <w:left w:w="0" w:type="dxa"/>
              <w:bottom w:w="50" w:type="dxa"/>
              <w:right w:w="0" w:type="dxa"/>
            </w:tcMar>
            <w:vAlign w:val="bottom"/>
            <w:hideMark/>
          </w:tcPr>
          <w:p w14:paraId="36B39A38"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Net loss attributable to Sanara MedTech shareholders</w:t>
            </w:r>
          </w:p>
        </w:tc>
        <w:tc>
          <w:tcPr>
            <w:tcW w:w="0" w:type="auto"/>
            <w:shd w:val="clear" w:color="auto" w:fill="FFFFFF" w:themeFill="background1"/>
            <w:tcMar>
              <w:top w:w="0" w:type="dxa"/>
              <w:left w:w="0" w:type="dxa"/>
              <w:bottom w:w="50" w:type="dxa"/>
              <w:right w:w="0" w:type="dxa"/>
            </w:tcMar>
            <w:vAlign w:val="bottom"/>
            <w:hideMark/>
          </w:tcPr>
          <w:p w14:paraId="23302086"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double" w:sz="6" w:space="0" w:color="000000"/>
            </w:tcBorders>
            <w:shd w:val="clear" w:color="auto" w:fill="FFFFFF" w:themeFill="background1"/>
            <w:vAlign w:val="bottom"/>
            <w:hideMark/>
          </w:tcPr>
          <w:p w14:paraId="085C87C7"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w:t>
            </w:r>
          </w:p>
        </w:tc>
        <w:tc>
          <w:tcPr>
            <w:tcW w:w="0" w:type="auto"/>
            <w:tcBorders>
              <w:bottom w:val="double" w:sz="6" w:space="0" w:color="000000"/>
            </w:tcBorders>
            <w:shd w:val="clear" w:color="auto" w:fill="FFFFFF" w:themeFill="background1"/>
            <w:vAlign w:val="bottom"/>
            <w:hideMark/>
          </w:tcPr>
          <w:p w14:paraId="60D1A1A0"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(1,764,184</w:t>
            </w:r>
          </w:p>
        </w:tc>
        <w:tc>
          <w:tcPr>
            <w:tcW w:w="0" w:type="auto"/>
            <w:shd w:val="clear" w:color="auto" w:fill="FFFFFF" w:themeFill="background1"/>
            <w:tcMar>
              <w:top w:w="0" w:type="dxa"/>
              <w:left w:w="0" w:type="dxa"/>
              <w:bottom w:w="50" w:type="dxa"/>
              <w:right w:w="0" w:type="dxa"/>
            </w:tcMar>
            <w:vAlign w:val="bottom"/>
            <w:hideMark/>
          </w:tcPr>
          <w:p w14:paraId="65326A23"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w:t>
            </w:r>
          </w:p>
        </w:tc>
        <w:tc>
          <w:tcPr>
            <w:tcW w:w="0" w:type="auto"/>
            <w:shd w:val="clear" w:color="auto" w:fill="FFFFFF" w:themeFill="background1"/>
            <w:tcMar>
              <w:top w:w="0" w:type="dxa"/>
              <w:left w:w="0" w:type="dxa"/>
              <w:bottom w:w="50" w:type="dxa"/>
              <w:right w:w="0" w:type="dxa"/>
            </w:tcMar>
            <w:vAlign w:val="bottom"/>
            <w:hideMark/>
          </w:tcPr>
          <w:p w14:paraId="5A1EB9F3"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 </w:t>
            </w:r>
          </w:p>
        </w:tc>
        <w:tc>
          <w:tcPr>
            <w:tcW w:w="0" w:type="auto"/>
            <w:tcBorders>
              <w:bottom w:val="double" w:sz="6" w:space="0" w:color="000000"/>
            </w:tcBorders>
            <w:shd w:val="clear" w:color="auto" w:fill="FFFFFF" w:themeFill="background1"/>
            <w:vAlign w:val="bottom"/>
            <w:hideMark/>
          </w:tcPr>
          <w:p w14:paraId="67D07511"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w:t>
            </w:r>
          </w:p>
        </w:tc>
        <w:tc>
          <w:tcPr>
            <w:tcW w:w="0" w:type="auto"/>
            <w:tcBorders>
              <w:bottom w:val="double" w:sz="6" w:space="0" w:color="000000"/>
            </w:tcBorders>
            <w:shd w:val="clear" w:color="auto" w:fill="FFFFFF" w:themeFill="background1"/>
            <w:vAlign w:val="bottom"/>
            <w:hideMark/>
          </w:tcPr>
          <w:p w14:paraId="43280C8E" w14:textId="77777777" w:rsidR="00D8135B" w:rsidRPr="00D8135B" w:rsidRDefault="00D8135B" w:rsidP="00D8135B">
            <w:pPr>
              <w:spacing w:after="0" w:line="240" w:lineRule="auto"/>
              <w:jc w:val="right"/>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(1,177,900</w:t>
            </w:r>
          </w:p>
        </w:tc>
        <w:tc>
          <w:tcPr>
            <w:tcW w:w="0" w:type="auto"/>
            <w:shd w:val="clear" w:color="auto" w:fill="FFFFFF" w:themeFill="background1"/>
            <w:tcMar>
              <w:top w:w="0" w:type="dxa"/>
              <w:left w:w="0" w:type="dxa"/>
              <w:bottom w:w="50" w:type="dxa"/>
              <w:right w:w="0" w:type="dxa"/>
            </w:tcMar>
            <w:vAlign w:val="bottom"/>
            <w:hideMark/>
          </w:tcPr>
          <w:p w14:paraId="72767554" w14:textId="77777777" w:rsidR="00D8135B" w:rsidRPr="00D8135B" w:rsidRDefault="00D8135B" w:rsidP="00D8135B">
            <w:pPr>
              <w:spacing w:after="0" w:line="240" w:lineRule="auto"/>
              <w:rPr>
                <w:rFonts w:ascii="Times New Roman" w:eastAsia="Times New Roman" w:hAnsi="Times New Roman" w:cs="Times New Roman"/>
                <w:b/>
                <w:bCs/>
                <w:sz w:val="20"/>
                <w:szCs w:val="20"/>
                <w:lang w:bidi="ta-IN"/>
              </w:rPr>
            </w:pPr>
            <w:r w:rsidRPr="00D8135B">
              <w:rPr>
                <w:rFonts w:ascii="Times New Roman" w:eastAsia="Times New Roman" w:hAnsi="Times New Roman" w:cs="Times New Roman"/>
                <w:b/>
                <w:bCs/>
                <w:sz w:val="20"/>
                <w:szCs w:val="20"/>
                <w:lang w:bidi="ta-IN"/>
              </w:rPr>
              <w:t>)</w:t>
            </w:r>
          </w:p>
        </w:tc>
      </w:tr>
      <w:tr w:rsidR="00D8135B" w:rsidRPr="00D8135B" w14:paraId="2C1B85CB" w14:textId="77777777" w:rsidTr="002534CB">
        <w:tc>
          <w:tcPr>
            <w:tcW w:w="0" w:type="auto"/>
            <w:shd w:val="clear" w:color="auto" w:fill="FFFFFF" w:themeFill="background1"/>
            <w:vAlign w:val="bottom"/>
            <w:hideMark/>
          </w:tcPr>
          <w:p w14:paraId="5F14D46A"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D25C092"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C59879D"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1B4856D"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56F75F2"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00CAC7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1412C1E"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C466167"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313727A"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23E6FCA7" w14:textId="77777777" w:rsidTr="002534CB">
        <w:tc>
          <w:tcPr>
            <w:tcW w:w="0" w:type="auto"/>
            <w:shd w:val="clear" w:color="auto" w:fill="FFFFFF" w:themeFill="background1"/>
            <w:vAlign w:val="bottom"/>
            <w:hideMark/>
          </w:tcPr>
          <w:p w14:paraId="36E87D8F"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Net loss per share of common stock, basic and diluted</w:t>
            </w:r>
          </w:p>
        </w:tc>
        <w:tc>
          <w:tcPr>
            <w:tcW w:w="0" w:type="auto"/>
            <w:shd w:val="clear" w:color="auto" w:fill="FFFFFF" w:themeFill="background1"/>
            <w:vAlign w:val="bottom"/>
            <w:hideMark/>
          </w:tcPr>
          <w:p w14:paraId="1025B55D"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1AB5F2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766EB8CE"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(0.21</w:t>
            </w:r>
          </w:p>
        </w:tc>
        <w:tc>
          <w:tcPr>
            <w:tcW w:w="0" w:type="auto"/>
            <w:shd w:val="clear" w:color="auto" w:fill="FFFFFF" w:themeFill="background1"/>
            <w:vAlign w:val="bottom"/>
            <w:hideMark/>
          </w:tcPr>
          <w:p w14:paraId="10B49BEB"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7BCE3B31"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1C1C92D"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724F9F48"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(0.14</w:t>
            </w:r>
          </w:p>
        </w:tc>
        <w:tc>
          <w:tcPr>
            <w:tcW w:w="0" w:type="auto"/>
            <w:shd w:val="clear" w:color="auto" w:fill="FFFFFF" w:themeFill="background1"/>
            <w:vAlign w:val="bottom"/>
            <w:hideMark/>
          </w:tcPr>
          <w:p w14:paraId="739E887C"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w:t>
            </w:r>
          </w:p>
        </w:tc>
      </w:tr>
      <w:tr w:rsidR="00D8135B" w:rsidRPr="00D8135B" w14:paraId="7DC61FB9" w14:textId="77777777" w:rsidTr="002534CB">
        <w:tc>
          <w:tcPr>
            <w:tcW w:w="0" w:type="auto"/>
            <w:shd w:val="clear" w:color="auto" w:fill="FFFFFF" w:themeFill="background1"/>
            <w:vAlign w:val="bottom"/>
            <w:hideMark/>
          </w:tcPr>
          <w:p w14:paraId="6F77530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FB934DE"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F2E1646"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61924F0"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DAAFD2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3BEA5A5"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3E59B09"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A7977EB"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0FA4F6E"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r w:rsidR="00D8135B" w:rsidRPr="00D8135B" w14:paraId="0D4FE1CD" w14:textId="77777777" w:rsidTr="002534CB">
        <w:tc>
          <w:tcPr>
            <w:tcW w:w="0" w:type="auto"/>
            <w:shd w:val="clear" w:color="auto" w:fill="FFFFFF" w:themeFill="background1"/>
            <w:vAlign w:val="bottom"/>
            <w:hideMark/>
          </w:tcPr>
          <w:p w14:paraId="34BC0A92"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Weighted average number of common shares outstanding, basic and diluted</w:t>
            </w:r>
          </w:p>
        </w:tc>
        <w:tc>
          <w:tcPr>
            <w:tcW w:w="0" w:type="auto"/>
            <w:shd w:val="clear" w:color="auto" w:fill="FFFFFF" w:themeFill="background1"/>
            <w:vAlign w:val="bottom"/>
            <w:hideMark/>
          </w:tcPr>
          <w:p w14:paraId="2CEE6160"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01A6DA6"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0ED67FA"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8,419,528</w:t>
            </w:r>
          </w:p>
        </w:tc>
        <w:tc>
          <w:tcPr>
            <w:tcW w:w="0" w:type="auto"/>
            <w:shd w:val="clear" w:color="auto" w:fill="FFFFFF" w:themeFill="background1"/>
            <w:vAlign w:val="bottom"/>
            <w:hideMark/>
          </w:tcPr>
          <w:p w14:paraId="4EBAA029"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89F2387"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C22DBB1"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052F37D" w14:textId="77777777" w:rsidR="00D8135B" w:rsidRPr="00D8135B" w:rsidRDefault="00D8135B" w:rsidP="00D8135B">
            <w:pPr>
              <w:spacing w:after="0" w:line="240" w:lineRule="auto"/>
              <w:jc w:val="right"/>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8,173,784</w:t>
            </w:r>
          </w:p>
        </w:tc>
        <w:tc>
          <w:tcPr>
            <w:tcW w:w="0" w:type="auto"/>
            <w:shd w:val="clear" w:color="auto" w:fill="FFFFFF" w:themeFill="background1"/>
            <w:vAlign w:val="bottom"/>
            <w:hideMark/>
          </w:tcPr>
          <w:p w14:paraId="2953C240" w14:textId="77777777" w:rsidR="00D8135B" w:rsidRPr="00D8135B" w:rsidRDefault="00D8135B" w:rsidP="00D8135B">
            <w:pPr>
              <w:spacing w:after="0" w:line="240" w:lineRule="auto"/>
              <w:rPr>
                <w:rFonts w:ascii="Times New Roman" w:eastAsia="Times New Roman" w:hAnsi="Times New Roman" w:cs="Times New Roman"/>
                <w:sz w:val="20"/>
                <w:szCs w:val="20"/>
                <w:lang w:bidi="ta-IN"/>
              </w:rPr>
            </w:pPr>
            <w:r w:rsidRPr="00D8135B">
              <w:rPr>
                <w:rFonts w:ascii="Times New Roman" w:eastAsia="Times New Roman" w:hAnsi="Times New Roman" w:cs="Times New Roman"/>
                <w:sz w:val="20"/>
                <w:szCs w:val="20"/>
                <w:lang w:bidi="ta-IN"/>
              </w:rPr>
              <w:t> </w:t>
            </w:r>
          </w:p>
        </w:tc>
      </w:tr>
    </w:tbl>
    <w:p w14:paraId="4C826F03" w14:textId="77777777" w:rsidR="007B59CA" w:rsidRDefault="007B59CA" w:rsidP="007B59CA">
      <w:pPr>
        <w:pStyle w:val="NoSpacing"/>
        <w:jc w:val="center"/>
        <w:rPr>
          <w:rFonts w:ascii="Times New Roman" w:hAnsi="Times New Roman" w:cs="Times New Roman"/>
          <w:b/>
          <w:bCs/>
          <w:noProof/>
        </w:rPr>
      </w:pPr>
    </w:p>
    <w:p w14:paraId="42E9A15A" w14:textId="77777777" w:rsidR="007B59CA" w:rsidRDefault="007B59CA" w:rsidP="007B59CA">
      <w:pPr>
        <w:pStyle w:val="NoSpacing"/>
        <w:jc w:val="center"/>
        <w:rPr>
          <w:rFonts w:ascii="Times New Roman" w:hAnsi="Times New Roman" w:cs="Times New Roman"/>
          <w:b/>
          <w:bCs/>
          <w:noProof/>
        </w:rPr>
      </w:pPr>
      <w:bookmarkStart w:id="4" w:name="RANGE!A1:M40"/>
      <w:bookmarkStart w:id="5" w:name="RANGE!A1:G40"/>
      <w:bookmarkEnd w:id="4"/>
      <w:bookmarkEnd w:id="5"/>
    </w:p>
    <w:p w14:paraId="17DFDCAE" w14:textId="77777777" w:rsidR="007B59CA" w:rsidRPr="00783AD6" w:rsidRDefault="007B59CA" w:rsidP="007B59CA">
      <w:pPr>
        <w:pStyle w:val="NoSpacing"/>
        <w:jc w:val="center"/>
        <w:rPr>
          <w:rFonts w:ascii="Times New Roman" w:hAnsi="Times New Roman" w:cs="Times New Roman"/>
          <w:b/>
          <w:bCs/>
          <w:noProof/>
        </w:rPr>
      </w:pPr>
      <w:r w:rsidRPr="00783AD6">
        <w:rPr>
          <w:rFonts w:ascii="Times New Roman" w:hAnsi="Times New Roman" w:cs="Times New Roman"/>
          <w:b/>
          <w:bCs/>
          <w:noProof/>
        </w:rPr>
        <w:t>SANARA MEDTECH INC. AND SUBSIDIARIES</w:t>
      </w:r>
    </w:p>
    <w:p w14:paraId="0221B0AB" w14:textId="6D770DE5" w:rsidR="007B59CA" w:rsidRDefault="007B59CA" w:rsidP="007B59CA">
      <w:pPr>
        <w:pStyle w:val="NoSpacing"/>
        <w:jc w:val="center"/>
        <w:rPr>
          <w:rFonts w:ascii="Times New Roman" w:hAnsi="Times New Roman" w:cs="Times New Roman"/>
          <w:b/>
          <w:bCs/>
          <w:noProof/>
        </w:rPr>
      </w:pPr>
      <w:r w:rsidRPr="00783AD6">
        <w:rPr>
          <w:rFonts w:ascii="Times New Roman" w:hAnsi="Times New Roman" w:cs="Times New Roman"/>
          <w:b/>
          <w:bCs/>
          <w:noProof/>
        </w:rPr>
        <w:t xml:space="preserve">CONSOLIDATED </w:t>
      </w:r>
      <w:r>
        <w:rPr>
          <w:rFonts w:ascii="Times New Roman" w:hAnsi="Times New Roman" w:cs="Times New Roman"/>
          <w:b/>
          <w:bCs/>
          <w:noProof/>
        </w:rPr>
        <w:t xml:space="preserve">STATEMENTS OF CASH FLOWS </w:t>
      </w:r>
      <w:r w:rsidR="009A5F76">
        <w:rPr>
          <w:rFonts w:ascii="Times New Roman" w:hAnsi="Times New Roman" w:cs="Times New Roman"/>
          <w:b/>
          <w:bCs/>
          <w:noProof/>
        </w:rPr>
        <w:t>(UNAUDITED)</w:t>
      </w:r>
    </w:p>
    <w:p w14:paraId="61833F19" w14:textId="77777777" w:rsidR="007B59CA" w:rsidRDefault="007B59CA" w:rsidP="007B59CA">
      <w:pPr>
        <w:pStyle w:val="NoSpacing"/>
        <w:jc w:val="center"/>
        <w:rPr>
          <w:rFonts w:ascii="Times New Roman" w:hAnsi="Times New Roman" w:cs="Times New Roman"/>
          <w:b/>
          <w:bCs/>
          <w:noProof/>
        </w:rPr>
      </w:pPr>
    </w:p>
    <w:tbl>
      <w:tblPr>
        <w:tblW w:w="5000" w:type="pct"/>
        <w:shd w:val="clear" w:color="auto" w:fill="FFFFFF" w:themeFill="background1"/>
        <w:tblCellMar>
          <w:left w:w="0" w:type="dxa"/>
          <w:right w:w="0" w:type="dxa"/>
        </w:tblCellMar>
        <w:tblLook w:val="04A0" w:firstRow="1" w:lastRow="0" w:firstColumn="1" w:lastColumn="0" w:noHBand="0" w:noVBand="1"/>
      </w:tblPr>
      <w:tblGrid>
        <w:gridCol w:w="5988"/>
        <w:gridCol w:w="185"/>
        <w:gridCol w:w="100"/>
        <w:gridCol w:w="1308"/>
        <w:gridCol w:w="92"/>
        <w:gridCol w:w="185"/>
        <w:gridCol w:w="100"/>
        <w:gridCol w:w="1309"/>
        <w:gridCol w:w="93"/>
      </w:tblGrid>
      <w:tr w:rsidR="00D20429" w:rsidRPr="00D20429" w14:paraId="70989197" w14:textId="77777777" w:rsidTr="002534CB">
        <w:tc>
          <w:tcPr>
            <w:tcW w:w="0" w:type="auto"/>
            <w:shd w:val="clear" w:color="auto" w:fill="FFFFFF" w:themeFill="background1"/>
            <w:vAlign w:val="bottom"/>
            <w:hideMark/>
          </w:tcPr>
          <w:p w14:paraId="1D3F35D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D01CBE2" w14:textId="77777777" w:rsidR="00D20429" w:rsidRPr="00D20429" w:rsidRDefault="00D20429" w:rsidP="00D20429">
            <w:pPr>
              <w:spacing w:after="0" w:line="240" w:lineRule="auto"/>
              <w:jc w:val="center"/>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 </w:t>
            </w:r>
          </w:p>
        </w:tc>
        <w:tc>
          <w:tcPr>
            <w:tcW w:w="0" w:type="auto"/>
            <w:gridSpan w:val="6"/>
            <w:shd w:val="clear" w:color="auto" w:fill="FFFFFF" w:themeFill="background1"/>
            <w:vAlign w:val="bottom"/>
            <w:hideMark/>
          </w:tcPr>
          <w:p w14:paraId="68F74EDA" w14:textId="77777777" w:rsidR="00D20429" w:rsidRPr="00D20429" w:rsidRDefault="00D20429" w:rsidP="00D20429">
            <w:pPr>
              <w:spacing w:after="0" w:line="240" w:lineRule="auto"/>
              <w:jc w:val="center"/>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Three Months Ended</w:t>
            </w:r>
          </w:p>
        </w:tc>
        <w:tc>
          <w:tcPr>
            <w:tcW w:w="0" w:type="auto"/>
            <w:shd w:val="clear" w:color="auto" w:fill="FFFFFF" w:themeFill="background1"/>
            <w:vAlign w:val="bottom"/>
            <w:hideMark/>
          </w:tcPr>
          <w:p w14:paraId="7298F269" w14:textId="77777777" w:rsidR="00D20429" w:rsidRPr="00D20429" w:rsidRDefault="00D20429" w:rsidP="00D20429">
            <w:pPr>
              <w:spacing w:after="0" w:line="240" w:lineRule="auto"/>
              <w:jc w:val="center"/>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 </w:t>
            </w:r>
          </w:p>
        </w:tc>
      </w:tr>
      <w:tr w:rsidR="00D20429" w:rsidRPr="00D20429" w14:paraId="1842AB00" w14:textId="77777777" w:rsidTr="002534CB">
        <w:tc>
          <w:tcPr>
            <w:tcW w:w="0" w:type="auto"/>
            <w:shd w:val="clear" w:color="auto" w:fill="FFFFFF" w:themeFill="background1"/>
            <w:vAlign w:val="bottom"/>
            <w:hideMark/>
          </w:tcPr>
          <w:p w14:paraId="281639F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77BB09DA" w14:textId="77777777" w:rsidR="00D20429" w:rsidRPr="00D20429" w:rsidRDefault="00D20429" w:rsidP="00D20429">
            <w:pPr>
              <w:spacing w:after="0" w:line="240" w:lineRule="auto"/>
              <w:jc w:val="center"/>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 </w:t>
            </w:r>
          </w:p>
        </w:tc>
        <w:tc>
          <w:tcPr>
            <w:tcW w:w="0" w:type="auto"/>
            <w:gridSpan w:val="6"/>
            <w:tcBorders>
              <w:bottom w:val="single" w:sz="12" w:space="0" w:color="000000"/>
            </w:tcBorders>
            <w:shd w:val="clear" w:color="auto" w:fill="FFFFFF" w:themeFill="background1"/>
            <w:vAlign w:val="bottom"/>
            <w:hideMark/>
          </w:tcPr>
          <w:p w14:paraId="5D75EED3" w14:textId="77777777" w:rsidR="00D20429" w:rsidRPr="00D20429" w:rsidRDefault="00D20429" w:rsidP="00D20429">
            <w:pPr>
              <w:spacing w:after="0" w:line="240" w:lineRule="auto"/>
              <w:jc w:val="center"/>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March 31,</w:t>
            </w:r>
          </w:p>
        </w:tc>
        <w:tc>
          <w:tcPr>
            <w:tcW w:w="0" w:type="auto"/>
            <w:shd w:val="clear" w:color="auto" w:fill="FFFFFF" w:themeFill="background1"/>
            <w:tcMar>
              <w:top w:w="0" w:type="dxa"/>
              <w:left w:w="0" w:type="dxa"/>
              <w:bottom w:w="30" w:type="dxa"/>
              <w:right w:w="0" w:type="dxa"/>
            </w:tcMar>
            <w:vAlign w:val="bottom"/>
            <w:hideMark/>
          </w:tcPr>
          <w:p w14:paraId="1057ED98" w14:textId="77777777" w:rsidR="00D20429" w:rsidRPr="00D20429" w:rsidRDefault="00D20429" w:rsidP="00D20429">
            <w:pPr>
              <w:spacing w:after="0" w:line="240" w:lineRule="auto"/>
              <w:jc w:val="center"/>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 </w:t>
            </w:r>
          </w:p>
        </w:tc>
      </w:tr>
      <w:tr w:rsidR="00D20429" w:rsidRPr="00D20429" w14:paraId="5C45027E" w14:textId="77777777" w:rsidTr="002534CB">
        <w:tc>
          <w:tcPr>
            <w:tcW w:w="0" w:type="auto"/>
            <w:shd w:val="clear" w:color="auto" w:fill="FFFFFF" w:themeFill="background1"/>
            <w:vAlign w:val="bottom"/>
            <w:hideMark/>
          </w:tcPr>
          <w:p w14:paraId="50A6DD1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2C7D91A1" w14:textId="77777777" w:rsidR="00D20429" w:rsidRPr="00D20429" w:rsidRDefault="00D20429" w:rsidP="00D20429">
            <w:pPr>
              <w:spacing w:after="0" w:line="240" w:lineRule="auto"/>
              <w:jc w:val="center"/>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 </w:t>
            </w:r>
          </w:p>
        </w:tc>
        <w:tc>
          <w:tcPr>
            <w:tcW w:w="0" w:type="auto"/>
            <w:gridSpan w:val="2"/>
            <w:tcBorders>
              <w:bottom w:val="single" w:sz="12" w:space="0" w:color="000000"/>
            </w:tcBorders>
            <w:shd w:val="clear" w:color="auto" w:fill="FFFFFF" w:themeFill="background1"/>
            <w:vAlign w:val="bottom"/>
            <w:hideMark/>
          </w:tcPr>
          <w:p w14:paraId="68489D23" w14:textId="77777777" w:rsidR="00D20429" w:rsidRPr="00D20429" w:rsidRDefault="00D20429" w:rsidP="00D20429">
            <w:pPr>
              <w:spacing w:after="0" w:line="240" w:lineRule="auto"/>
              <w:jc w:val="center"/>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2024</w:t>
            </w:r>
          </w:p>
        </w:tc>
        <w:tc>
          <w:tcPr>
            <w:tcW w:w="0" w:type="auto"/>
            <w:shd w:val="clear" w:color="auto" w:fill="FFFFFF" w:themeFill="background1"/>
            <w:tcMar>
              <w:top w:w="0" w:type="dxa"/>
              <w:left w:w="0" w:type="dxa"/>
              <w:bottom w:w="30" w:type="dxa"/>
              <w:right w:w="0" w:type="dxa"/>
            </w:tcMar>
            <w:vAlign w:val="bottom"/>
            <w:hideMark/>
          </w:tcPr>
          <w:p w14:paraId="44C124C7" w14:textId="77777777" w:rsidR="00D20429" w:rsidRPr="00D20429" w:rsidRDefault="00D20429" w:rsidP="00D20429">
            <w:pPr>
              <w:spacing w:after="0" w:line="240" w:lineRule="auto"/>
              <w:jc w:val="center"/>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40ACB0B2" w14:textId="77777777" w:rsidR="00D20429" w:rsidRPr="00D20429" w:rsidRDefault="00D20429" w:rsidP="00D20429">
            <w:pPr>
              <w:spacing w:after="0" w:line="240" w:lineRule="auto"/>
              <w:jc w:val="center"/>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 </w:t>
            </w:r>
          </w:p>
        </w:tc>
        <w:tc>
          <w:tcPr>
            <w:tcW w:w="0" w:type="auto"/>
            <w:gridSpan w:val="2"/>
            <w:tcBorders>
              <w:bottom w:val="single" w:sz="12" w:space="0" w:color="000000"/>
            </w:tcBorders>
            <w:shd w:val="clear" w:color="auto" w:fill="FFFFFF" w:themeFill="background1"/>
            <w:vAlign w:val="bottom"/>
            <w:hideMark/>
          </w:tcPr>
          <w:p w14:paraId="3C0384AA" w14:textId="77777777" w:rsidR="00D20429" w:rsidRPr="00D20429" w:rsidRDefault="00D20429" w:rsidP="00D20429">
            <w:pPr>
              <w:spacing w:after="0" w:line="240" w:lineRule="auto"/>
              <w:jc w:val="center"/>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2023</w:t>
            </w:r>
          </w:p>
        </w:tc>
        <w:tc>
          <w:tcPr>
            <w:tcW w:w="0" w:type="auto"/>
            <w:shd w:val="clear" w:color="auto" w:fill="FFFFFF" w:themeFill="background1"/>
            <w:tcMar>
              <w:top w:w="0" w:type="dxa"/>
              <w:left w:w="0" w:type="dxa"/>
              <w:bottom w:w="30" w:type="dxa"/>
              <w:right w:w="0" w:type="dxa"/>
            </w:tcMar>
            <w:vAlign w:val="bottom"/>
            <w:hideMark/>
          </w:tcPr>
          <w:p w14:paraId="6E054C17" w14:textId="77777777" w:rsidR="00D20429" w:rsidRPr="00D20429" w:rsidRDefault="00D20429" w:rsidP="00D20429">
            <w:pPr>
              <w:spacing w:after="0" w:line="240" w:lineRule="auto"/>
              <w:jc w:val="center"/>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 </w:t>
            </w:r>
          </w:p>
        </w:tc>
      </w:tr>
      <w:tr w:rsidR="00D20429" w:rsidRPr="00D20429" w14:paraId="5E2B68D4" w14:textId="77777777" w:rsidTr="002534CB">
        <w:tc>
          <w:tcPr>
            <w:tcW w:w="0" w:type="auto"/>
            <w:shd w:val="clear" w:color="auto" w:fill="FFFFFF" w:themeFill="background1"/>
            <w:vAlign w:val="bottom"/>
            <w:hideMark/>
          </w:tcPr>
          <w:p w14:paraId="5E7D8A9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13AB58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gridSpan w:val="2"/>
            <w:shd w:val="clear" w:color="auto" w:fill="FFFFFF" w:themeFill="background1"/>
            <w:vAlign w:val="bottom"/>
            <w:hideMark/>
          </w:tcPr>
          <w:p w14:paraId="14519F88" w14:textId="77777777" w:rsidR="00D20429" w:rsidRPr="00D20429" w:rsidRDefault="00D20429" w:rsidP="00D20429">
            <w:pPr>
              <w:spacing w:after="0" w:line="240" w:lineRule="auto"/>
              <w:jc w:val="center"/>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A61E87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91F0E3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gridSpan w:val="2"/>
            <w:shd w:val="clear" w:color="auto" w:fill="FFFFFF" w:themeFill="background1"/>
            <w:vAlign w:val="bottom"/>
            <w:hideMark/>
          </w:tcPr>
          <w:p w14:paraId="77705127" w14:textId="77777777" w:rsidR="00D20429" w:rsidRPr="00D20429" w:rsidRDefault="00D20429" w:rsidP="00D20429">
            <w:pPr>
              <w:spacing w:after="0" w:line="240" w:lineRule="auto"/>
              <w:jc w:val="center"/>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AE63FD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4AC84E9C" w14:textId="77777777" w:rsidTr="002534CB">
        <w:tc>
          <w:tcPr>
            <w:tcW w:w="0" w:type="auto"/>
            <w:shd w:val="clear" w:color="auto" w:fill="FFFFFF" w:themeFill="background1"/>
            <w:vAlign w:val="bottom"/>
            <w:hideMark/>
          </w:tcPr>
          <w:p w14:paraId="42616B6D" w14:textId="77777777" w:rsidR="00D20429" w:rsidRPr="00D20429" w:rsidRDefault="00D20429" w:rsidP="00D20429">
            <w:pPr>
              <w:spacing w:after="0" w:line="240" w:lineRule="auto"/>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Cash flows from operating activities:</w:t>
            </w:r>
          </w:p>
        </w:tc>
        <w:tc>
          <w:tcPr>
            <w:tcW w:w="0" w:type="auto"/>
            <w:shd w:val="clear" w:color="auto" w:fill="FFFFFF" w:themeFill="background1"/>
            <w:vAlign w:val="bottom"/>
            <w:hideMark/>
          </w:tcPr>
          <w:p w14:paraId="2E63095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86A392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E1F7240"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76EB5FF"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D48F30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2A0CD0F"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DE766AE"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15AFDD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683C26B3" w14:textId="77777777" w:rsidTr="002534CB">
        <w:tc>
          <w:tcPr>
            <w:tcW w:w="3200" w:type="pct"/>
            <w:shd w:val="clear" w:color="auto" w:fill="FFFFFF" w:themeFill="background1"/>
            <w:vAlign w:val="bottom"/>
            <w:hideMark/>
          </w:tcPr>
          <w:p w14:paraId="017C911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Net loss</w:t>
            </w:r>
          </w:p>
        </w:tc>
        <w:tc>
          <w:tcPr>
            <w:tcW w:w="100" w:type="pct"/>
            <w:shd w:val="clear" w:color="auto" w:fill="FFFFFF" w:themeFill="background1"/>
            <w:vAlign w:val="bottom"/>
            <w:hideMark/>
          </w:tcPr>
          <w:p w14:paraId="22D7C23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50" w:type="pct"/>
            <w:shd w:val="clear" w:color="auto" w:fill="FFFFFF" w:themeFill="background1"/>
            <w:vAlign w:val="bottom"/>
            <w:hideMark/>
          </w:tcPr>
          <w:p w14:paraId="4A4309D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700" w:type="pct"/>
            <w:shd w:val="clear" w:color="auto" w:fill="FFFFFF" w:themeFill="background1"/>
            <w:vAlign w:val="bottom"/>
            <w:hideMark/>
          </w:tcPr>
          <w:p w14:paraId="08DDF349"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(1,799,043</w:t>
            </w:r>
          </w:p>
        </w:tc>
        <w:tc>
          <w:tcPr>
            <w:tcW w:w="50" w:type="pct"/>
            <w:shd w:val="clear" w:color="auto" w:fill="FFFFFF" w:themeFill="background1"/>
            <w:vAlign w:val="bottom"/>
            <w:hideMark/>
          </w:tcPr>
          <w:p w14:paraId="45CAF5B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100" w:type="pct"/>
            <w:shd w:val="clear" w:color="auto" w:fill="FFFFFF" w:themeFill="background1"/>
            <w:vAlign w:val="bottom"/>
            <w:hideMark/>
          </w:tcPr>
          <w:p w14:paraId="164117D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50" w:type="pct"/>
            <w:shd w:val="clear" w:color="auto" w:fill="FFFFFF" w:themeFill="background1"/>
            <w:vAlign w:val="bottom"/>
            <w:hideMark/>
          </w:tcPr>
          <w:p w14:paraId="5A3B787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700" w:type="pct"/>
            <w:shd w:val="clear" w:color="auto" w:fill="FFFFFF" w:themeFill="background1"/>
            <w:vAlign w:val="bottom"/>
            <w:hideMark/>
          </w:tcPr>
          <w:p w14:paraId="3688D794"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(1,216,329</w:t>
            </w:r>
          </w:p>
        </w:tc>
        <w:tc>
          <w:tcPr>
            <w:tcW w:w="50" w:type="pct"/>
            <w:shd w:val="clear" w:color="auto" w:fill="FFFFFF" w:themeFill="background1"/>
            <w:vAlign w:val="bottom"/>
            <w:hideMark/>
          </w:tcPr>
          <w:p w14:paraId="3AC30FA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r>
      <w:tr w:rsidR="00D20429" w:rsidRPr="00D20429" w14:paraId="480D87CB" w14:textId="77777777" w:rsidTr="002534CB">
        <w:tc>
          <w:tcPr>
            <w:tcW w:w="0" w:type="auto"/>
            <w:shd w:val="clear" w:color="auto" w:fill="FFFFFF" w:themeFill="background1"/>
            <w:vAlign w:val="bottom"/>
            <w:hideMark/>
          </w:tcPr>
          <w:p w14:paraId="66A5813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Adjustments to reconcile net loss to net cash used in operating activities:</w:t>
            </w:r>
          </w:p>
        </w:tc>
        <w:tc>
          <w:tcPr>
            <w:tcW w:w="0" w:type="auto"/>
            <w:shd w:val="clear" w:color="auto" w:fill="FFFFFF" w:themeFill="background1"/>
            <w:vAlign w:val="bottom"/>
            <w:hideMark/>
          </w:tcPr>
          <w:p w14:paraId="765BBD5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87B13E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4B6B352"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00A320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22EC75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7A2D57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CE3DCD1"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C9B2CA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06EDEE33" w14:textId="77777777" w:rsidTr="002534CB">
        <w:tc>
          <w:tcPr>
            <w:tcW w:w="0" w:type="auto"/>
            <w:shd w:val="clear" w:color="auto" w:fill="FFFFFF" w:themeFill="background1"/>
            <w:tcMar>
              <w:top w:w="0" w:type="dxa"/>
              <w:left w:w="200" w:type="dxa"/>
              <w:bottom w:w="0" w:type="dxa"/>
              <w:right w:w="0" w:type="dxa"/>
            </w:tcMar>
            <w:vAlign w:val="bottom"/>
            <w:hideMark/>
          </w:tcPr>
          <w:p w14:paraId="4A1F514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Depreciation and amortization</w:t>
            </w:r>
          </w:p>
        </w:tc>
        <w:tc>
          <w:tcPr>
            <w:tcW w:w="0" w:type="auto"/>
            <w:shd w:val="clear" w:color="auto" w:fill="FFFFFF" w:themeFill="background1"/>
            <w:vAlign w:val="bottom"/>
            <w:hideMark/>
          </w:tcPr>
          <w:p w14:paraId="2E7D3B0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54D49A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10FD05B"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1,105,420</w:t>
            </w:r>
          </w:p>
        </w:tc>
        <w:tc>
          <w:tcPr>
            <w:tcW w:w="0" w:type="auto"/>
            <w:shd w:val="clear" w:color="auto" w:fill="FFFFFF" w:themeFill="background1"/>
            <w:vAlign w:val="bottom"/>
            <w:hideMark/>
          </w:tcPr>
          <w:p w14:paraId="66B9057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314120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404884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CED2806"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778,875</w:t>
            </w:r>
          </w:p>
        </w:tc>
        <w:tc>
          <w:tcPr>
            <w:tcW w:w="0" w:type="auto"/>
            <w:shd w:val="clear" w:color="auto" w:fill="FFFFFF" w:themeFill="background1"/>
            <w:vAlign w:val="bottom"/>
            <w:hideMark/>
          </w:tcPr>
          <w:p w14:paraId="012516F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5173D3E9" w14:textId="77777777" w:rsidTr="002534CB">
        <w:tc>
          <w:tcPr>
            <w:tcW w:w="0" w:type="auto"/>
            <w:shd w:val="clear" w:color="auto" w:fill="FFFFFF" w:themeFill="background1"/>
            <w:tcMar>
              <w:top w:w="0" w:type="dxa"/>
              <w:left w:w="200" w:type="dxa"/>
              <w:bottom w:w="0" w:type="dxa"/>
              <w:right w:w="0" w:type="dxa"/>
            </w:tcMar>
            <w:vAlign w:val="bottom"/>
            <w:hideMark/>
          </w:tcPr>
          <w:p w14:paraId="70D7DB6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Bad debt expense</w:t>
            </w:r>
          </w:p>
        </w:tc>
        <w:tc>
          <w:tcPr>
            <w:tcW w:w="0" w:type="auto"/>
            <w:shd w:val="clear" w:color="auto" w:fill="FFFFFF" w:themeFill="background1"/>
            <w:vAlign w:val="bottom"/>
            <w:hideMark/>
          </w:tcPr>
          <w:p w14:paraId="2409626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7104F5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7C0EBF0"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65,000</w:t>
            </w:r>
          </w:p>
        </w:tc>
        <w:tc>
          <w:tcPr>
            <w:tcW w:w="0" w:type="auto"/>
            <w:shd w:val="clear" w:color="auto" w:fill="FFFFFF" w:themeFill="background1"/>
            <w:vAlign w:val="bottom"/>
            <w:hideMark/>
          </w:tcPr>
          <w:p w14:paraId="6F28318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400CBA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D90B35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33CA79D"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36,000</w:t>
            </w:r>
          </w:p>
        </w:tc>
        <w:tc>
          <w:tcPr>
            <w:tcW w:w="0" w:type="auto"/>
            <w:shd w:val="clear" w:color="auto" w:fill="FFFFFF" w:themeFill="background1"/>
            <w:vAlign w:val="bottom"/>
            <w:hideMark/>
          </w:tcPr>
          <w:p w14:paraId="18F6DC7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20C69C1D" w14:textId="77777777" w:rsidTr="002534CB">
        <w:tc>
          <w:tcPr>
            <w:tcW w:w="0" w:type="auto"/>
            <w:shd w:val="clear" w:color="auto" w:fill="FFFFFF" w:themeFill="background1"/>
            <w:tcMar>
              <w:top w:w="0" w:type="dxa"/>
              <w:left w:w="200" w:type="dxa"/>
              <w:bottom w:w="0" w:type="dxa"/>
              <w:right w:w="0" w:type="dxa"/>
            </w:tcMar>
            <w:vAlign w:val="bottom"/>
            <w:hideMark/>
          </w:tcPr>
          <w:p w14:paraId="63956AF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Inventory obsolescence</w:t>
            </w:r>
          </w:p>
        </w:tc>
        <w:tc>
          <w:tcPr>
            <w:tcW w:w="0" w:type="auto"/>
            <w:shd w:val="clear" w:color="auto" w:fill="FFFFFF" w:themeFill="background1"/>
            <w:vAlign w:val="bottom"/>
            <w:hideMark/>
          </w:tcPr>
          <w:p w14:paraId="7635269F"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01797FF"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42F03C0"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95,235</w:t>
            </w:r>
          </w:p>
        </w:tc>
        <w:tc>
          <w:tcPr>
            <w:tcW w:w="0" w:type="auto"/>
            <w:shd w:val="clear" w:color="auto" w:fill="FFFFFF" w:themeFill="background1"/>
            <w:vAlign w:val="bottom"/>
            <w:hideMark/>
          </w:tcPr>
          <w:p w14:paraId="2AAFCF2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5AB661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B79109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E7D870F"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30,511</w:t>
            </w:r>
          </w:p>
        </w:tc>
        <w:tc>
          <w:tcPr>
            <w:tcW w:w="0" w:type="auto"/>
            <w:shd w:val="clear" w:color="auto" w:fill="FFFFFF" w:themeFill="background1"/>
            <w:vAlign w:val="bottom"/>
            <w:hideMark/>
          </w:tcPr>
          <w:p w14:paraId="70B3120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632ECB52" w14:textId="77777777" w:rsidTr="002534CB">
        <w:tc>
          <w:tcPr>
            <w:tcW w:w="0" w:type="auto"/>
            <w:shd w:val="clear" w:color="auto" w:fill="FFFFFF" w:themeFill="background1"/>
            <w:tcMar>
              <w:top w:w="0" w:type="dxa"/>
              <w:left w:w="200" w:type="dxa"/>
              <w:bottom w:w="0" w:type="dxa"/>
              <w:right w:w="0" w:type="dxa"/>
            </w:tcMar>
            <w:vAlign w:val="bottom"/>
            <w:hideMark/>
          </w:tcPr>
          <w:p w14:paraId="7E5FBFC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Share-based compensation</w:t>
            </w:r>
          </w:p>
        </w:tc>
        <w:tc>
          <w:tcPr>
            <w:tcW w:w="0" w:type="auto"/>
            <w:shd w:val="clear" w:color="auto" w:fill="FFFFFF" w:themeFill="background1"/>
            <w:vAlign w:val="bottom"/>
            <w:hideMark/>
          </w:tcPr>
          <w:p w14:paraId="3A4E0F5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FAE430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B4D807D"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803,386</w:t>
            </w:r>
          </w:p>
        </w:tc>
        <w:tc>
          <w:tcPr>
            <w:tcW w:w="0" w:type="auto"/>
            <w:shd w:val="clear" w:color="auto" w:fill="FFFFFF" w:themeFill="background1"/>
            <w:vAlign w:val="bottom"/>
            <w:hideMark/>
          </w:tcPr>
          <w:p w14:paraId="2747104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C49527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3ED2F5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D3DF88B"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597,305</w:t>
            </w:r>
          </w:p>
        </w:tc>
        <w:tc>
          <w:tcPr>
            <w:tcW w:w="0" w:type="auto"/>
            <w:shd w:val="clear" w:color="auto" w:fill="FFFFFF" w:themeFill="background1"/>
            <w:vAlign w:val="bottom"/>
            <w:hideMark/>
          </w:tcPr>
          <w:p w14:paraId="5D74C17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68CB5466" w14:textId="77777777" w:rsidTr="002534CB">
        <w:tc>
          <w:tcPr>
            <w:tcW w:w="0" w:type="auto"/>
            <w:shd w:val="clear" w:color="auto" w:fill="FFFFFF" w:themeFill="background1"/>
            <w:tcMar>
              <w:top w:w="0" w:type="dxa"/>
              <w:left w:w="200" w:type="dxa"/>
              <w:bottom w:w="0" w:type="dxa"/>
              <w:right w:w="0" w:type="dxa"/>
            </w:tcMar>
            <w:vAlign w:val="bottom"/>
            <w:hideMark/>
          </w:tcPr>
          <w:p w14:paraId="153AE18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Noncash lease expense</w:t>
            </w:r>
          </w:p>
        </w:tc>
        <w:tc>
          <w:tcPr>
            <w:tcW w:w="0" w:type="auto"/>
            <w:shd w:val="clear" w:color="auto" w:fill="FFFFFF" w:themeFill="background1"/>
            <w:vAlign w:val="bottom"/>
            <w:hideMark/>
          </w:tcPr>
          <w:p w14:paraId="0EE9EE1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F6025E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69BBDB3"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100,517</w:t>
            </w:r>
          </w:p>
        </w:tc>
        <w:tc>
          <w:tcPr>
            <w:tcW w:w="0" w:type="auto"/>
            <w:shd w:val="clear" w:color="auto" w:fill="FFFFFF" w:themeFill="background1"/>
            <w:vAlign w:val="bottom"/>
            <w:hideMark/>
          </w:tcPr>
          <w:p w14:paraId="7FC97C9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FBE147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A23B7B9"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74C31B5"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76,545</w:t>
            </w:r>
          </w:p>
        </w:tc>
        <w:tc>
          <w:tcPr>
            <w:tcW w:w="0" w:type="auto"/>
            <w:shd w:val="clear" w:color="auto" w:fill="FFFFFF" w:themeFill="background1"/>
            <w:vAlign w:val="bottom"/>
            <w:hideMark/>
          </w:tcPr>
          <w:p w14:paraId="411BF679"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7CF6BB36" w14:textId="77777777" w:rsidTr="002534CB">
        <w:tc>
          <w:tcPr>
            <w:tcW w:w="0" w:type="auto"/>
            <w:shd w:val="clear" w:color="auto" w:fill="FFFFFF" w:themeFill="background1"/>
            <w:tcMar>
              <w:top w:w="0" w:type="dxa"/>
              <w:left w:w="200" w:type="dxa"/>
              <w:bottom w:w="0" w:type="dxa"/>
              <w:right w:w="0" w:type="dxa"/>
            </w:tcMar>
            <w:vAlign w:val="bottom"/>
            <w:hideMark/>
          </w:tcPr>
          <w:p w14:paraId="5B71C21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Accretion of finance liabilities</w:t>
            </w:r>
          </w:p>
        </w:tc>
        <w:tc>
          <w:tcPr>
            <w:tcW w:w="0" w:type="auto"/>
            <w:shd w:val="clear" w:color="auto" w:fill="FFFFFF" w:themeFill="background1"/>
            <w:vAlign w:val="bottom"/>
            <w:hideMark/>
          </w:tcPr>
          <w:p w14:paraId="362FE1E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5FACDF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1BD1FAD"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58,834</w:t>
            </w:r>
          </w:p>
        </w:tc>
        <w:tc>
          <w:tcPr>
            <w:tcW w:w="0" w:type="auto"/>
            <w:shd w:val="clear" w:color="auto" w:fill="FFFFFF" w:themeFill="background1"/>
            <w:vAlign w:val="bottom"/>
            <w:hideMark/>
          </w:tcPr>
          <w:p w14:paraId="2F75159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9CA820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8EBDCA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B7DBC46"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21ACCB0F"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095374AF" w14:textId="77777777" w:rsidTr="002534CB">
        <w:tc>
          <w:tcPr>
            <w:tcW w:w="0" w:type="auto"/>
            <w:shd w:val="clear" w:color="auto" w:fill="FFFFFF" w:themeFill="background1"/>
            <w:tcMar>
              <w:top w:w="0" w:type="dxa"/>
              <w:left w:w="200" w:type="dxa"/>
              <w:bottom w:w="0" w:type="dxa"/>
              <w:right w:w="0" w:type="dxa"/>
            </w:tcMar>
            <w:vAlign w:val="bottom"/>
            <w:hideMark/>
          </w:tcPr>
          <w:p w14:paraId="207912B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Amortization of debt issuance costs</w:t>
            </w:r>
          </w:p>
        </w:tc>
        <w:tc>
          <w:tcPr>
            <w:tcW w:w="0" w:type="auto"/>
            <w:shd w:val="clear" w:color="auto" w:fill="FFFFFF" w:themeFill="background1"/>
            <w:vAlign w:val="bottom"/>
            <w:hideMark/>
          </w:tcPr>
          <w:p w14:paraId="5FD0838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D53761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5E711B9"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3,083</w:t>
            </w:r>
          </w:p>
        </w:tc>
        <w:tc>
          <w:tcPr>
            <w:tcW w:w="0" w:type="auto"/>
            <w:shd w:val="clear" w:color="auto" w:fill="FFFFFF" w:themeFill="background1"/>
            <w:vAlign w:val="bottom"/>
            <w:hideMark/>
          </w:tcPr>
          <w:p w14:paraId="6C9FC23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7EABA4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2F9313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CE15195"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6B03BC1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335FD370" w14:textId="77777777" w:rsidTr="002534CB">
        <w:tc>
          <w:tcPr>
            <w:tcW w:w="0" w:type="auto"/>
            <w:shd w:val="clear" w:color="auto" w:fill="FFFFFF" w:themeFill="background1"/>
            <w:tcMar>
              <w:top w:w="0" w:type="dxa"/>
              <w:left w:w="200" w:type="dxa"/>
              <w:bottom w:w="0" w:type="dxa"/>
              <w:right w:w="0" w:type="dxa"/>
            </w:tcMar>
            <w:vAlign w:val="bottom"/>
            <w:hideMark/>
          </w:tcPr>
          <w:p w14:paraId="61B0053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Change in fair value of earnout liabilities</w:t>
            </w:r>
          </w:p>
        </w:tc>
        <w:tc>
          <w:tcPr>
            <w:tcW w:w="0" w:type="auto"/>
            <w:shd w:val="clear" w:color="auto" w:fill="FFFFFF" w:themeFill="background1"/>
            <w:vAlign w:val="bottom"/>
            <w:hideMark/>
          </w:tcPr>
          <w:p w14:paraId="38C4C5D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FE62E5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C8D38D1"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(65,678</w:t>
            </w:r>
          </w:p>
        </w:tc>
        <w:tc>
          <w:tcPr>
            <w:tcW w:w="0" w:type="auto"/>
            <w:shd w:val="clear" w:color="auto" w:fill="FFFFFF" w:themeFill="background1"/>
            <w:vAlign w:val="bottom"/>
            <w:hideMark/>
          </w:tcPr>
          <w:p w14:paraId="00C9892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4E9FBEA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1615DC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F56F261"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(452,687</w:t>
            </w:r>
          </w:p>
        </w:tc>
        <w:tc>
          <w:tcPr>
            <w:tcW w:w="0" w:type="auto"/>
            <w:shd w:val="clear" w:color="auto" w:fill="FFFFFF" w:themeFill="background1"/>
            <w:vAlign w:val="bottom"/>
            <w:hideMark/>
          </w:tcPr>
          <w:p w14:paraId="759D6CB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r>
      <w:tr w:rsidR="00D20429" w:rsidRPr="00D20429" w14:paraId="4752E49C" w14:textId="77777777" w:rsidTr="002534CB">
        <w:tc>
          <w:tcPr>
            <w:tcW w:w="0" w:type="auto"/>
            <w:shd w:val="clear" w:color="auto" w:fill="FFFFFF" w:themeFill="background1"/>
            <w:vAlign w:val="bottom"/>
            <w:hideMark/>
          </w:tcPr>
          <w:p w14:paraId="7E3F436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Changes in operating assets and liabilities:</w:t>
            </w:r>
          </w:p>
        </w:tc>
        <w:tc>
          <w:tcPr>
            <w:tcW w:w="0" w:type="auto"/>
            <w:shd w:val="clear" w:color="auto" w:fill="FFFFFF" w:themeFill="background1"/>
            <w:vAlign w:val="bottom"/>
            <w:hideMark/>
          </w:tcPr>
          <w:p w14:paraId="5C08DC5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AF907D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EAE729D"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56FAAA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7F2BCA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63C59C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44C7ACA"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50F4EE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4445E048" w14:textId="77777777" w:rsidTr="002534CB">
        <w:tc>
          <w:tcPr>
            <w:tcW w:w="0" w:type="auto"/>
            <w:shd w:val="clear" w:color="auto" w:fill="FFFFFF" w:themeFill="background1"/>
            <w:tcMar>
              <w:top w:w="0" w:type="dxa"/>
              <w:left w:w="200" w:type="dxa"/>
              <w:bottom w:w="0" w:type="dxa"/>
              <w:right w:w="0" w:type="dxa"/>
            </w:tcMar>
            <w:vAlign w:val="bottom"/>
            <w:hideMark/>
          </w:tcPr>
          <w:p w14:paraId="521915B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Accounts receivable, net</w:t>
            </w:r>
          </w:p>
        </w:tc>
        <w:tc>
          <w:tcPr>
            <w:tcW w:w="0" w:type="auto"/>
            <w:shd w:val="clear" w:color="auto" w:fill="FFFFFF" w:themeFill="background1"/>
            <w:vAlign w:val="bottom"/>
            <w:hideMark/>
          </w:tcPr>
          <w:p w14:paraId="27627CD9"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85C5E3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A97EF9F"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(735,490</w:t>
            </w:r>
          </w:p>
        </w:tc>
        <w:tc>
          <w:tcPr>
            <w:tcW w:w="0" w:type="auto"/>
            <w:shd w:val="clear" w:color="auto" w:fill="FFFFFF" w:themeFill="background1"/>
            <w:vAlign w:val="bottom"/>
            <w:hideMark/>
          </w:tcPr>
          <w:p w14:paraId="11D0A01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0B99AF4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1E6F1D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3D9A3C5"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352,102</w:t>
            </w:r>
          </w:p>
        </w:tc>
        <w:tc>
          <w:tcPr>
            <w:tcW w:w="0" w:type="auto"/>
            <w:shd w:val="clear" w:color="auto" w:fill="FFFFFF" w:themeFill="background1"/>
            <w:vAlign w:val="bottom"/>
            <w:hideMark/>
          </w:tcPr>
          <w:p w14:paraId="3F6C996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76DE7D12" w14:textId="77777777" w:rsidTr="002534CB">
        <w:tc>
          <w:tcPr>
            <w:tcW w:w="0" w:type="auto"/>
            <w:shd w:val="clear" w:color="auto" w:fill="FFFFFF" w:themeFill="background1"/>
            <w:tcMar>
              <w:top w:w="0" w:type="dxa"/>
              <w:left w:w="200" w:type="dxa"/>
              <w:bottom w:w="0" w:type="dxa"/>
              <w:right w:w="0" w:type="dxa"/>
            </w:tcMar>
            <w:vAlign w:val="bottom"/>
            <w:hideMark/>
          </w:tcPr>
          <w:p w14:paraId="47B9F82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Accounts receivable – related parties</w:t>
            </w:r>
          </w:p>
        </w:tc>
        <w:tc>
          <w:tcPr>
            <w:tcW w:w="0" w:type="auto"/>
            <w:shd w:val="clear" w:color="auto" w:fill="FFFFFF" w:themeFill="background1"/>
            <w:vAlign w:val="bottom"/>
            <w:hideMark/>
          </w:tcPr>
          <w:p w14:paraId="4471F3B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2A0985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602078B"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(14,602</w:t>
            </w:r>
          </w:p>
        </w:tc>
        <w:tc>
          <w:tcPr>
            <w:tcW w:w="0" w:type="auto"/>
            <w:shd w:val="clear" w:color="auto" w:fill="FFFFFF" w:themeFill="background1"/>
            <w:vAlign w:val="bottom"/>
            <w:hideMark/>
          </w:tcPr>
          <w:p w14:paraId="56E83E9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26B5A0D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0E903BF"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641787A"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74,602</w:t>
            </w:r>
          </w:p>
        </w:tc>
        <w:tc>
          <w:tcPr>
            <w:tcW w:w="0" w:type="auto"/>
            <w:shd w:val="clear" w:color="auto" w:fill="FFFFFF" w:themeFill="background1"/>
            <w:vAlign w:val="bottom"/>
            <w:hideMark/>
          </w:tcPr>
          <w:p w14:paraId="38B79BB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70B48522" w14:textId="77777777" w:rsidTr="002534CB">
        <w:tc>
          <w:tcPr>
            <w:tcW w:w="0" w:type="auto"/>
            <w:shd w:val="clear" w:color="auto" w:fill="FFFFFF" w:themeFill="background1"/>
            <w:tcMar>
              <w:top w:w="0" w:type="dxa"/>
              <w:left w:w="200" w:type="dxa"/>
              <w:bottom w:w="0" w:type="dxa"/>
              <w:right w:w="0" w:type="dxa"/>
            </w:tcMar>
            <w:vAlign w:val="bottom"/>
            <w:hideMark/>
          </w:tcPr>
          <w:p w14:paraId="50710C7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Inventory, net</w:t>
            </w:r>
          </w:p>
        </w:tc>
        <w:tc>
          <w:tcPr>
            <w:tcW w:w="0" w:type="auto"/>
            <w:shd w:val="clear" w:color="auto" w:fill="FFFFFF" w:themeFill="background1"/>
            <w:vAlign w:val="bottom"/>
            <w:hideMark/>
          </w:tcPr>
          <w:p w14:paraId="1BF7B42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8C7193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91FB6D6"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393,148</w:t>
            </w:r>
          </w:p>
        </w:tc>
        <w:tc>
          <w:tcPr>
            <w:tcW w:w="0" w:type="auto"/>
            <w:shd w:val="clear" w:color="auto" w:fill="FFFFFF" w:themeFill="background1"/>
            <w:vAlign w:val="bottom"/>
            <w:hideMark/>
          </w:tcPr>
          <w:p w14:paraId="30B617B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4B9B25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2FC413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25E09D5"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86,785</w:t>
            </w:r>
          </w:p>
        </w:tc>
        <w:tc>
          <w:tcPr>
            <w:tcW w:w="0" w:type="auto"/>
            <w:shd w:val="clear" w:color="auto" w:fill="FFFFFF" w:themeFill="background1"/>
            <w:vAlign w:val="bottom"/>
            <w:hideMark/>
          </w:tcPr>
          <w:p w14:paraId="7CAC152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76A500D0" w14:textId="77777777" w:rsidTr="002534CB">
        <w:tc>
          <w:tcPr>
            <w:tcW w:w="0" w:type="auto"/>
            <w:shd w:val="clear" w:color="auto" w:fill="FFFFFF" w:themeFill="background1"/>
            <w:tcMar>
              <w:top w:w="0" w:type="dxa"/>
              <w:left w:w="200" w:type="dxa"/>
              <w:bottom w:w="0" w:type="dxa"/>
              <w:right w:w="0" w:type="dxa"/>
            </w:tcMar>
            <w:vAlign w:val="bottom"/>
            <w:hideMark/>
          </w:tcPr>
          <w:p w14:paraId="58644EE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Prepaid and other assets</w:t>
            </w:r>
          </w:p>
        </w:tc>
        <w:tc>
          <w:tcPr>
            <w:tcW w:w="0" w:type="auto"/>
            <w:shd w:val="clear" w:color="auto" w:fill="FFFFFF" w:themeFill="background1"/>
            <w:vAlign w:val="bottom"/>
            <w:hideMark/>
          </w:tcPr>
          <w:p w14:paraId="1B32EC6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BA2E22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2CB1D15"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(303,182</w:t>
            </w:r>
          </w:p>
        </w:tc>
        <w:tc>
          <w:tcPr>
            <w:tcW w:w="0" w:type="auto"/>
            <w:shd w:val="clear" w:color="auto" w:fill="FFFFFF" w:themeFill="background1"/>
            <w:vAlign w:val="bottom"/>
            <w:hideMark/>
          </w:tcPr>
          <w:p w14:paraId="45276E7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14C5C22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1B5DA0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87A67E2"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(361,719</w:t>
            </w:r>
          </w:p>
        </w:tc>
        <w:tc>
          <w:tcPr>
            <w:tcW w:w="0" w:type="auto"/>
            <w:shd w:val="clear" w:color="auto" w:fill="FFFFFF" w:themeFill="background1"/>
            <w:vAlign w:val="bottom"/>
            <w:hideMark/>
          </w:tcPr>
          <w:p w14:paraId="4AF0101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r>
      <w:tr w:rsidR="00D20429" w:rsidRPr="00D20429" w14:paraId="5EA1E25B" w14:textId="77777777" w:rsidTr="002534CB">
        <w:tc>
          <w:tcPr>
            <w:tcW w:w="0" w:type="auto"/>
            <w:shd w:val="clear" w:color="auto" w:fill="FFFFFF" w:themeFill="background1"/>
            <w:tcMar>
              <w:top w:w="0" w:type="dxa"/>
              <w:left w:w="200" w:type="dxa"/>
              <w:bottom w:w="0" w:type="dxa"/>
              <w:right w:w="0" w:type="dxa"/>
            </w:tcMar>
            <w:vAlign w:val="bottom"/>
            <w:hideMark/>
          </w:tcPr>
          <w:p w14:paraId="331D24F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Accounts payable</w:t>
            </w:r>
          </w:p>
        </w:tc>
        <w:tc>
          <w:tcPr>
            <w:tcW w:w="0" w:type="auto"/>
            <w:shd w:val="clear" w:color="auto" w:fill="FFFFFF" w:themeFill="background1"/>
            <w:vAlign w:val="bottom"/>
            <w:hideMark/>
          </w:tcPr>
          <w:p w14:paraId="001F3BA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93FF9B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65BB3FB"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(732,266</w:t>
            </w:r>
          </w:p>
        </w:tc>
        <w:tc>
          <w:tcPr>
            <w:tcW w:w="0" w:type="auto"/>
            <w:shd w:val="clear" w:color="auto" w:fill="FFFFFF" w:themeFill="background1"/>
            <w:vAlign w:val="bottom"/>
            <w:hideMark/>
          </w:tcPr>
          <w:p w14:paraId="7714658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6487882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E7EAB6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C82CF49"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405,360</w:t>
            </w:r>
          </w:p>
        </w:tc>
        <w:tc>
          <w:tcPr>
            <w:tcW w:w="0" w:type="auto"/>
            <w:shd w:val="clear" w:color="auto" w:fill="FFFFFF" w:themeFill="background1"/>
            <w:vAlign w:val="bottom"/>
            <w:hideMark/>
          </w:tcPr>
          <w:p w14:paraId="6156EBD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78590EB0" w14:textId="77777777" w:rsidTr="002534CB">
        <w:tc>
          <w:tcPr>
            <w:tcW w:w="0" w:type="auto"/>
            <w:shd w:val="clear" w:color="auto" w:fill="FFFFFF" w:themeFill="background1"/>
            <w:tcMar>
              <w:top w:w="0" w:type="dxa"/>
              <w:left w:w="200" w:type="dxa"/>
              <w:bottom w:w="0" w:type="dxa"/>
              <w:right w:w="0" w:type="dxa"/>
            </w:tcMar>
            <w:vAlign w:val="bottom"/>
            <w:hideMark/>
          </w:tcPr>
          <w:p w14:paraId="03759BB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Accounts payable – related parties</w:t>
            </w:r>
          </w:p>
        </w:tc>
        <w:tc>
          <w:tcPr>
            <w:tcW w:w="0" w:type="auto"/>
            <w:shd w:val="clear" w:color="auto" w:fill="FFFFFF" w:themeFill="background1"/>
            <w:vAlign w:val="bottom"/>
            <w:hideMark/>
          </w:tcPr>
          <w:p w14:paraId="51E2BEF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2C44E7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002EB12"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9,311</w:t>
            </w:r>
          </w:p>
        </w:tc>
        <w:tc>
          <w:tcPr>
            <w:tcW w:w="0" w:type="auto"/>
            <w:shd w:val="clear" w:color="auto" w:fill="FFFFFF" w:themeFill="background1"/>
            <w:vAlign w:val="bottom"/>
            <w:hideMark/>
          </w:tcPr>
          <w:p w14:paraId="4B00E21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BEE60F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30A26E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782BFC9"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(10,747</w:t>
            </w:r>
          </w:p>
        </w:tc>
        <w:tc>
          <w:tcPr>
            <w:tcW w:w="0" w:type="auto"/>
            <w:shd w:val="clear" w:color="auto" w:fill="FFFFFF" w:themeFill="background1"/>
            <w:vAlign w:val="bottom"/>
            <w:hideMark/>
          </w:tcPr>
          <w:p w14:paraId="2E045C6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r>
      <w:tr w:rsidR="00D20429" w:rsidRPr="00D20429" w14:paraId="589D1A90" w14:textId="77777777" w:rsidTr="002534CB">
        <w:tc>
          <w:tcPr>
            <w:tcW w:w="0" w:type="auto"/>
            <w:shd w:val="clear" w:color="auto" w:fill="FFFFFF" w:themeFill="background1"/>
            <w:tcMar>
              <w:top w:w="0" w:type="dxa"/>
              <w:left w:w="200" w:type="dxa"/>
              <w:bottom w:w="0" w:type="dxa"/>
              <w:right w:w="0" w:type="dxa"/>
            </w:tcMar>
            <w:vAlign w:val="bottom"/>
            <w:hideMark/>
          </w:tcPr>
          <w:p w14:paraId="0B95762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Accrued royalties and expenses</w:t>
            </w:r>
          </w:p>
        </w:tc>
        <w:tc>
          <w:tcPr>
            <w:tcW w:w="0" w:type="auto"/>
            <w:shd w:val="clear" w:color="auto" w:fill="FFFFFF" w:themeFill="background1"/>
            <w:vAlign w:val="bottom"/>
            <w:hideMark/>
          </w:tcPr>
          <w:p w14:paraId="7FE214D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F45C30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2571458"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300,574</w:t>
            </w:r>
          </w:p>
        </w:tc>
        <w:tc>
          <w:tcPr>
            <w:tcW w:w="0" w:type="auto"/>
            <w:shd w:val="clear" w:color="auto" w:fill="FFFFFF" w:themeFill="background1"/>
            <w:vAlign w:val="bottom"/>
            <w:hideMark/>
          </w:tcPr>
          <w:p w14:paraId="71B44E0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D226F7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D1BB52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B01491F"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(112,774</w:t>
            </w:r>
          </w:p>
        </w:tc>
        <w:tc>
          <w:tcPr>
            <w:tcW w:w="0" w:type="auto"/>
            <w:shd w:val="clear" w:color="auto" w:fill="FFFFFF" w:themeFill="background1"/>
            <w:vAlign w:val="bottom"/>
            <w:hideMark/>
          </w:tcPr>
          <w:p w14:paraId="0B5F0DB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r>
      <w:tr w:rsidR="00D20429" w:rsidRPr="00D20429" w14:paraId="76EBE787" w14:textId="77777777" w:rsidTr="002534CB">
        <w:tc>
          <w:tcPr>
            <w:tcW w:w="0" w:type="auto"/>
            <w:shd w:val="clear" w:color="auto" w:fill="FFFFFF" w:themeFill="background1"/>
            <w:tcMar>
              <w:top w:w="0" w:type="dxa"/>
              <w:left w:w="200" w:type="dxa"/>
              <w:bottom w:w="0" w:type="dxa"/>
              <w:right w:w="0" w:type="dxa"/>
            </w:tcMar>
            <w:vAlign w:val="bottom"/>
            <w:hideMark/>
          </w:tcPr>
          <w:p w14:paraId="1E10E94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Accrued bonuses and commissions</w:t>
            </w:r>
          </w:p>
        </w:tc>
        <w:tc>
          <w:tcPr>
            <w:tcW w:w="0" w:type="auto"/>
            <w:shd w:val="clear" w:color="auto" w:fill="FFFFFF" w:themeFill="background1"/>
            <w:vAlign w:val="bottom"/>
            <w:hideMark/>
          </w:tcPr>
          <w:p w14:paraId="09D2BA1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438CD2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2234D19"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(783,390</w:t>
            </w:r>
          </w:p>
        </w:tc>
        <w:tc>
          <w:tcPr>
            <w:tcW w:w="0" w:type="auto"/>
            <w:shd w:val="clear" w:color="auto" w:fill="FFFFFF" w:themeFill="background1"/>
            <w:vAlign w:val="bottom"/>
            <w:hideMark/>
          </w:tcPr>
          <w:p w14:paraId="5F51A2B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59DBBF7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E4C02A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50FA2A2"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(1,949,325</w:t>
            </w:r>
          </w:p>
        </w:tc>
        <w:tc>
          <w:tcPr>
            <w:tcW w:w="0" w:type="auto"/>
            <w:shd w:val="clear" w:color="auto" w:fill="FFFFFF" w:themeFill="background1"/>
            <w:vAlign w:val="bottom"/>
            <w:hideMark/>
          </w:tcPr>
          <w:p w14:paraId="63DED70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r>
      <w:tr w:rsidR="00D20429" w:rsidRPr="00D20429" w14:paraId="4ED760AA" w14:textId="77777777" w:rsidTr="002534CB">
        <w:tc>
          <w:tcPr>
            <w:tcW w:w="0" w:type="auto"/>
            <w:shd w:val="clear" w:color="auto" w:fill="FFFFFF" w:themeFill="background1"/>
            <w:tcMar>
              <w:top w:w="0" w:type="dxa"/>
              <w:left w:w="200" w:type="dxa"/>
              <w:bottom w:w="30" w:type="dxa"/>
              <w:right w:w="0" w:type="dxa"/>
            </w:tcMar>
            <w:vAlign w:val="bottom"/>
            <w:hideMark/>
          </w:tcPr>
          <w:p w14:paraId="531E2AE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Operating lease liabilities</w:t>
            </w:r>
          </w:p>
        </w:tc>
        <w:tc>
          <w:tcPr>
            <w:tcW w:w="0" w:type="auto"/>
            <w:shd w:val="clear" w:color="auto" w:fill="FFFFFF" w:themeFill="background1"/>
            <w:tcMar>
              <w:top w:w="0" w:type="dxa"/>
              <w:left w:w="0" w:type="dxa"/>
              <w:bottom w:w="30" w:type="dxa"/>
              <w:right w:w="0" w:type="dxa"/>
            </w:tcMar>
            <w:vAlign w:val="bottom"/>
            <w:hideMark/>
          </w:tcPr>
          <w:p w14:paraId="4760489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53CE9C6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3854094B"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(95,227</w:t>
            </w:r>
          </w:p>
        </w:tc>
        <w:tc>
          <w:tcPr>
            <w:tcW w:w="0" w:type="auto"/>
            <w:shd w:val="clear" w:color="auto" w:fill="FFFFFF" w:themeFill="background1"/>
            <w:tcMar>
              <w:top w:w="0" w:type="dxa"/>
              <w:left w:w="0" w:type="dxa"/>
              <w:bottom w:w="30" w:type="dxa"/>
              <w:right w:w="0" w:type="dxa"/>
            </w:tcMar>
            <w:vAlign w:val="bottom"/>
            <w:hideMark/>
          </w:tcPr>
          <w:p w14:paraId="0AF55A3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0192ACE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72FFC0E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589762F6"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(75,817</w:t>
            </w:r>
          </w:p>
        </w:tc>
        <w:tc>
          <w:tcPr>
            <w:tcW w:w="0" w:type="auto"/>
            <w:shd w:val="clear" w:color="auto" w:fill="FFFFFF" w:themeFill="background1"/>
            <w:tcMar>
              <w:top w:w="0" w:type="dxa"/>
              <w:left w:w="0" w:type="dxa"/>
              <w:bottom w:w="30" w:type="dxa"/>
              <w:right w:w="0" w:type="dxa"/>
            </w:tcMar>
            <w:vAlign w:val="bottom"/>
            <w:hideMark/>
          </w:tcPr>
          <w:p w14:paraId="42BC5A0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r>
      <w:tr w:rsidR="00D20429" w:rsidRPr="00D20429" w14:paraId="434201D1" w14:textId="77777777" w:rsidTr="002534CB">
        <w:tc>
          <w:tcPr>
            <w:tcW w:w="0" w:type="auto"/>
            <w:shd w:val="clear" w:color="auto" w:fill="FFFFFF" w:themeFill="background1"/>
            <w:tcMar>
              <w:top w:w="0" w:type="dxa"/>
              <w:left w:w="0" w:type="dxa"/>
              <w:bottom w:w="30" w:type="dxa"/>
              <w:right w:w="0" w:type="dxa"/>
            </w:tcMar>
            <w:vAlign w:val="bottom"/>
            <w:hideMark/>
          </w:tcPr>
          <w:p w14:paraId="37A43F96" w14:textId="77777777" w:rsidR="00D20429" w:rsidRPr="00D20429" w:rsidRDefault="00D20429" w:rsidP="00D20429">
            <w:pPr>
              <w:spacing w:after="0" w:line="240" w:lineRule="auto"/>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Net cash used in operating activities</w:t>
            </w:r>
          </w:p>
        </w:tc>
        <w:tc>
          <w:tcPr>
            <w:tcW w:w="0" w:type="auto"/>
            <w:shd w:val="clear" w:color="auto" w:fill="FFFFFF" w:themeFill="background1"/>
            <w:tcMar>
              <w:top w:w="0" w:type="dxa"/>
              <w:left w:w="0" w:type="dxa"/>
              <w:bottom w:w="30" w:type="dxa"/>
              <w:right w:w="0" w:type="dxa"/>
            </w:tcMar>
            <w:vAlign w:val="bottom"/>
            <w:hideMark/>
          </w:tcPr>
          <w:p w14:paraId="3328319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2802338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777EE607"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(1,594,370</w:t>
            </w:r>
          </w:p>
        </w:tc>
        <w:tc>
          <w:tcPr>
            <w:tcW w:w="0" w:type="auto"/>
            <w:shd w:val="clear" w:color="auto" w:fill="FFFFFF" w:themeFill="background1"/>
            <w:tcMar>
              <w:top w:w="0" w:type="dxa"/>
              <w:left w:w="0" w:type="dxa"/>
              <w:bottom w:w="30" w:type="dxa"/>
              <w:right w:w="0" w:type="dxa"/>
            </w:tcMar>
            <w:vAlign w:val="bottom"/>
            <w:hideMark/>
          </w:tcPr>
          <w:p w14:paraId="5A4B98A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212BE6C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2C405AC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3BE71D8B"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(1,741,313</w:t>
            </w:r>
          </w:p>
        </w:tc>
        <w:tc>
          <w:tcPr>
            <w:tcW w:w="0" w:type="auto"/>
            <w:shd w:val="clear" w:color="auto" w:fill="FFFFFF" w:themeFill="background1"/>
            <w:tcMar>
              <w:top w:w="0" w:type="dxa"/>
              <w:left w:w="0" w:type="dxa"/>
              <w:bottom w:w="30" w:type="dxa"/>
              <w:right w:w="0" w:type="dxa"/>
            </w:tcMar>
            <w:vAlign w:val="bottom"/>
            <w:hideMark/>
          </w:tcPr>
          <w:p w14:paraId="2C653F8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r>
      <w:tr w:rsidR="00D20429" w:rsidRPr="00D20429" w14:paraId="65310490" w14:textId="77777777" w:rsidTr="002534CB">
        <w:tc>
          <w:tcPr>
            <w:tcW w:w="0" w:type="auto"/>
            <w:shd w:val="clear" w:color="auto" w:fill="FFFFFF" w:themeFill="background1"/>
            <w:vAlign w:val="bottom"/>
            <w:hideMark/>
          </w:tcPr>
          <w:p w14:paraId="564C937A" w14:textId="77777777" w:rsidR="00D20429" w:rsidRPr="00D20429" w:rsidRDefault="00D20429" w:rsidP="00D20429">
            <w:pPr>
              <w:spacing w:after="0" w:line="240" w:lineRule="auto"/>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Cash flows from investing activities:</w:t>
            </w:r>
          </w:p>
        </w:tc>
        <w:tc>
          <w:tcPr>
            <w:tcW w:w="0" w:type="auto"/>
            <w:shd w:val="clear" w:color="auto" w:fill="FFFFFF" w:themeFill="background1"/>
            <w:vAlign w:val="bottom"/>
            <w:hideMark/>
          </w:tcPr>
          <w:p w14:paraId="52C2A66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075C92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1B1D46D"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E2F207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0FDE21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6D6F98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030595C"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9E0EEA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41B4D56D" w14:textId="77777777" w:rsidTr="002534CB">
        <w:tc>
          <w:tcPr>
            <w:tcW w:w="0" w:type="auto"/>
            <w:shd w:val="clear" w:color="auto" w:fill="FFFFFF" w:themeFill="background1"/>
            <w:tcMar>
              <w:top w:w="0" w:type="dxa"/>
              <w:left w:w="200" w:type="dxa"/>
              <w:bottom w:w="0" w:type="dxa"/>
              <w:right w:w="0" w:type="dxa"/>
            </w:tcMar>
            <w:vAlign w:val="bottom"/>
            <w:hideMark/>
          </w:tcPr>
          <w:p w14:paraId="2488FE7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Purchases of property and equipment</w:t>
            </w:r>
          </w:p>
        </w:tc>
        <w:tc>
          <w:tcPr>
            <w:tcW w:w="0" w:type="auto"/>
            <w:shd w:val="clear" w:color="auto" w:fill="FFFFFF" w:themeFill="background1"/>
            <w:vAlign w:val="bottom"/>
            <w:hideMark/>
          </w:tcPr>
          <w:p w14:paraId="369752F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656432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65B8B03"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(65,818</w:t>
            </w:r>
          </w:p>
        </w:tc>
        <w:tc>
          <w:tcPr>
            <w:tcW w:w="0" w:type="auto"/>
            <w:shd w:val="clear" w:color="auto" w:fill="FFFFFF" w:themeFill="background1"/>
            <w:vAlign w:val="bottom"/>
            <w:hideMark/>
          </w:tcPr>
          <w:p w14:paraId="50F0A30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3AAAC1BF"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3D7887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E9A188A"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(27,705</w:t>
            </w:r>
          </w:p>
        </w:tc>
        <w:tc>
          <w:tcPr>
            <w:tcW w:w="0" w:type="auto"/>
            <w:shd w:val="clear" w:color="auto" w:fill="FFFFFF" w:themeFill="background1"/>
            <w:vAlign w:val="bottom"/>
            <w:hideMark/>
          </w:tcPr>
          <w:p w14:paraId="38AC368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r>
      <w:tr w:rsidR="00D20429" w:rsidRPr="00D20429" w14:paraId="3134775D" w14:textId="77777777" w:rsidTr="002534CB">
        <w:tc>
          <w:tcPr>
            <w:tcW w:w="0" w:type="auto"/>
            <w:shd w:val="clear" w:color="auto" w:fill="FFFFFF" w:themeFill="background1"/>
            <w:tcMar>
              <w:top w:w="0" w:type="dxa"/>
              <w:left w:w="200" w:type="dxa"/>
              <w:bottom w:w="30" w:type="dxa"/>
              <w:right w:w="0" w:type="dxa"/>
            </w:tcMar>
            <w:vAlign w:val="bottom"/>
            <w:hideMark/>
          </w:tcPr>
          <w:p w14:paraId="516C7E2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Proceeds from disposal of property and equipment</w:t>
            </w:r>
          </w:p>
        </w:tc>
        <w:tc>
          <w:tcPr>
            <w:tcW w:w="0" w:type="auto"/>
            <w:shd w:val="clear" w:color="auto" w:fill="FFFFFF" w:themeFill="background1"/>
            <w:tcMar>
              <w:top w:w="0" w:type="dxa"/>
              <w:left w:w="0" w:type="dxa"/>
              <w:bottom w:w="30" w:type="dxa"/>
              <w:right w:w="0" w:type="dxa"/>
            </w:tcMar>
            <w:vAlign w:val="bottom"/>
            <w:hideMark/>
          </w:tcPr>
          <w:p w14:paraId="4A3089E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4327B77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65B71C50"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3CC6041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1398278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4F30FD7F"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2579C55C"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650</w:t>
            </w:r>
          </w:p>
        </w:tc>
        <w:tc>
          <w:tcPr>
            <w:tcW w:w="0" w:type="auto"/>
            <w:shd w:val="clear" w:color="auto" w:fill="FFFFFF" w:themeFill="background1"/>
            <w:tcMar>
              <w:top w:w="0" w:type="dxa"/>
              <w:left w:w="0" w:type="dxa"/>
              <w:bottom w:w="30" w:type="dxa"/>
              <w:right w:w="0" w:type="dxa"/>
            </w:tcMar>
            <w:vAlign w:val="bottom"/>
            <w:hideMark/>
          </w:tcPr>
          <w:p w14:paraId="4B95143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6015A022" w14:textId="77777777" w:rsidTr="002534CB">
        <w:tc>
          <w:tcPr>
            <w:tcW w:w="0" w:type="auto"/>
            <w:shd w:val="clear" w:color="auto" w:fill="FFFFFF" w:themeFill="background1"/>
            <w:tcMar>
              <w:top w:w="0" w:type="dxa"/>
              <w:left w:w="0" w:type="dxa"/>
              <w:bottom w:w="30" w:type="dxa"/>
              <w:right w:w="0" w:type="dxa"/>
            </w:tcMar>
            <w:vAlign w:val="bottom"/>
            <w:hideMark/>
          </w:tcPr>
          <w:p w14:paraId="44D40347" w14:textId="77777777" w:rsidR="00D20429" w:rsidRPr="00D20429" w:rsidRDefault="00D20429" w:rsidP="00D20429">
            <w:pPr>
              <w:spacing w:after="0" w:line="240" w:lineRule="auto"/>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Net cash used in investing activities</w:t>
            </w:r>
          </w:p>
        </w:tc>
        <w:tc>
          <w:tcPr>
            <w:tcW w:w="0" w:type="auto"/>
            <w:shd w:val="clear" w:color="auto" w:fill="FFFFFF" w:themeFill="background1"/>
            <w:tcMar>
              <w:top w:w="0" w:type="dxa"/>
              <w:left w:w="0" w:type="dxa"/>
              <w:bottom w:w="30" w:type="dxa"/>
              <w:right w:w="0" w:type="dxa"/>
            </w:tcMar>
            <w:vAlign w:val="bottom"/>
            <w:hideMark/>
          </w:tcPr>
          <w:p w14:paraId="148E822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3A22DC7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6670AF13"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(65,818</w:t>
            </w:r>
          </w:p>
        </w:tc>
        <w:tc>
          <w:tcPr>
            <w:tcW w:w="0" w:type="auto"/>
            <w:shd w:val="clear" w:color="auto" w:fill="FFFFFF" w:themeFill="background1"/>
            <w:tcMar>
              <w:top w:w="0" w:type="dxa"/>
              <w:left w:w="0" w:type="dxa"/>
              <w:bottom w:w="30" w:type="dxa"/>
              <w:right w:w="0" w:type="dxa"/>
            </w:tcMar>
            <w:vAlign w:val="bottom"/>
            <w:hideMark/>
          </w:tcPr>
          <w:p w14:paraId="0BF950AF"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769908D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67F3F91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15A7C5FE"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(27,055</w:t>
            </w:r>
          </w:p>
        </w:tc>
        <w:tc>
          <w:tcPr>
            <w:tcW w:w="0" w:type="auto"/>
            <w:shd w:val="clear" w:color="auto" w:fill="FFFFFF" w:themeFill="background1"/>
            <w:tcMar>
              <w:top w:w="0" w:type="dxa"/>
              <w:left w:w="0" w:type="dxa"/>
              <w:bottom w:w="30" w:type="dxa"/>
              <w:right w:w="0" w:type="dxa"/>
            </w:tcMar>
            <w:vAlign w:val="bottom"/>
            <w:hideMark/>
          </w:tcPr>
          <w:p w14:paraId="6063648F"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r>
      <w:tr w:rsidR="00D20429" w:rsidRPr="00D20429" w14:paraId="0FF3190C" w14:textId="77777777" w:rsidTr="002534CB">
        <w:tc>
          <w:tcPr>
            <w:tcW w:w="0" w:type="auto"/>
            <w:shd w:val="clear" w:color="auto" w:fill="FFFFFF" w:themeFill="background1"/>
            <w:vAlign w:val="bottom"/>
            <w:hideMark/>
          </w:tcPr>
          <w:p w14:paraId="38AD1E8E" w14:textId="77777777" w:rsidR="00D20429" w:rsidRPr="00D20429" w:rsidRDefault="00D20429" w:rsidP="00D20429">
            <w:pPr>
              <w:spacing w:after="0" w:line="240" w:lineRule="auto"/>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Cash flows from financing activities:</w:t>
            </w:r>
          </w:p>
        </w:tc>
        <w:tc>
          <w:tcPr>
            <w:tcW w:w="0" w:type="auto"/>
            <w:shd w:val="clear" w:color="auto" w:fill="FFFFFF" w:themeFill="background1"/>
            <w:vAlign w:val="bottom"/>
            <w:hideMark/>
          </w:tcPr>
          <w:p w14:paraId="6479FE2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717424F"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2579004"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43CAF9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728E7E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756788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B5A3EBD"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025A9E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768C8549" w14:textId="77777777" w:rsidTr="002534CB">
        <w:tc>
          <w:tcPr>
            <w:tcW w:w="0" w:type="auto"/>
            <w:shd w:val="clear" w:color="auto" w:fill="FFFFFF" w:themeFill="background1"/>
            <w:tcMar>
              <w:top w:w="0" w:type="dxa"/>
              <w:left w:w="200" w:type="dxa"/>
              <w:bottom w:w="0" w:type="dxa"/>
              <w:right w:w="0" w:type="dxa"/>
            </w:tcMar>
            <w:vAlign w:val="bottom"/>
            <w:hideMark/>
          </w:tcPr>
          <w:p w14:paraId="7C14A1F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Equity offering net proceeds</w:t>
            </w:r>
          </w:p>
        </w:tc>
        <w:tc>
          <w:tcPr>
            <w:tcW w:w="0" w:type="auto"/>
            <w:shd w:val="clear" w:color="auto" w:fill="FFFFFF" w:themeFill="background1"/>
            <w:vAlign w:val="bottom"/>
            <w:hideMark/>
          </w:tcPr>
          <w:p w14:paraId="3E95B0C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FABC9D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C6B0722"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40FD8EE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A5EF3F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7C1A38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AABE569"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751,752</w:t>
            </w:r>
          </w:p>
        </w:tc>
        <w:tc>
          <w:tcPr>
            <w:tcW w:w="0" w:type="auto"/>
            <w:shd w:val="clear" w:color="auto" w:fill="FFFFFF" w:themeFill="background1"/>
            <w:vAlign w:val="bottom"/>
            <w:hideMark/>
          </w:tcPr>
          <w:p w14:paraId="1F8CC5C9"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42E4717F" w14:textId="77777777" w:rsidTr="002534CB">
        <w:tc>
          <w:tcPr>
            <w:tcW w:w="0" w:type="auto"/>
            <w:shd w:val="clear" w:color="auto" w:fill="FFFFFF" w:themeFill="background1"/>
            <w:tcMar>
              <w:top w:w="0" w:type="dxa"/>
              <w:left w:w="200" w:type="dxa"/>
              <w:bottom w:w="0" w:type="dxa"/>
              <w:right w:w="0" w:type="dxa"/>
            </w:tcMar>
            <w:vAlign w:val="bottom"/>
            <w:hideMark/>
          </w:tcPr>
          <w:p w14:paraId="07E2367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Net settlement of equity-based awards</w:t>
            </w:r>
          </w:p>
        </w:tc>
        <w:tc>
          <w:tcPr>
            <w:tcW w:w="0" w:type="auto"/>
            <w:shd w:val="clear" w:color="auto" w:fill="FFFFFF" w:themeFill="background1"/>
            <w:vAlign w:val="bottom"/>
            <w:hideMark/>
          </w:tcPr>
          <w:p w14:paraId="0C50FB5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9C7906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7FB77B1"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(580,794</w:t>
            </w:r>
          </w:p>
        </w:tc>
        <w:tc>
          <w:tcPr>
            <w:tcW w:w="0" w:type="auto"/>
            <w:shd w:val="clear" w:color="auto" w:fill="FFFFFF" w:themeFill="background1"/>
            <w:vAlign w:val="bottom"/>
            <w:hideMark/>
          </w:tcPr>
          <w:p w14:paraId="252B849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118A4CA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1AC6F0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F2D1645"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(655,942</w:t>
            </w:r>
          </w:p>
        </w:tc>
        <w:tc>
          <w:tcPr>
            <w:tcW w:w="0" w:type="auto"/>
            <w:shd w:val="clear" w:color="auto" w:fill="FFFFFF" w:themeFill="background1"/>
            <w:vAlign w:val="bottom"/>
            <w:hideMark/>
          </w:tcPr>
          <w:p w14:paraId="0FBC390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r>
      <w:tr w:rsidR="00D20429" w:rsidRPr="00D20429" w14:paraId="066829E6" w14:textId="77777777" w:rsidTr="002534CB">
        <w:tc>
          <w:tcPr>
            <w:tcW w:w="0" w:type="auto"/>
            <w:shd w:val="clear" w:color="auto" w:fill="FFFFFF" w:themeFill="background1"/>
            <w:tcMar>
              <w:top w:w="0" w:type="dxa"/>
              <w:left w:w="200" w:type="dxa"/>
              <w:bottom w:w="30" w:type="dxa"/>
              <w:right w:w="0" w:type="dxa"/>
            </w:tcMar>
            <w:vAlign w:val="bottom"/>
            <w:hideMark/>
          </w:tcPr>
          <w:p w14:paraId="50E2F89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Cash payment of finance and earnout liabilities</w:t>
            </w:r>
          </w:p>
        </w:tc>
        <w:tc>
          <w:tcPr>
            <w:tcW w:w="0" w:type="auto"/>
            <w:shd w:val="clear" w:color="auto" w:fill="FFFFFF" w:themeFill="background1"/>
            <w:tcMar>
              <w:top w:w="0" w:type="dxa"/>
              <w:left w:w="0" w:type="dxa"/>
              <w:bottom w:w="30" w:type="dxa"/>
              <w:right w:w="0" w:type="dxa"/>
            </w:tcMar>
            <w:vAlign w:val="bottom"/>
            <w:hideMark/>
          </w:tcPr>
          <w:p w14:paraId="2E66ADF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342BB32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0B855071"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(78,000</w:t>
            </w:r>
          </w:p>
        </w:tc>
        <w:tc>
          <w:tcPr>
            <w:tcW w:w="0" w:type="auto"/>
            <w:shd w:val="clear" w:color="auto" w:fill="FFFFFF" w:themeFill="background1"/>
            <w:tcMar>
              <w:top w:w="0" w:type="dxa"/>
              <w:left w:w="0" w:type="dxa"/>
              <w:bottom w:w="30" w:type="dxa"/>
              <w:right w:w="0" w:type="dxa"/>
            </w:tcMar>
            <w:vAlign w:val="bottom"/>
            <w:hideMark/>
          </w:tcPr>
          <w:p w14:paraId="146BAE09"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02003E7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5E69926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13236414"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4FC2FCC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4760C3E4" w14:textId="77777777" w:rsidTr="002534CB">
        <w:tc>
          <w:tcPr>
            <w:tcW w:w="0" w:type="auto"/>
            <w:shd w:val="clear" w:color="auto" w:fill="FFFFFF" w:themeFill="background1"/>
            <w:tcMar>
              <w:top w:w="0" w:type="dxa"/>
              <w:left w:w="0" w:type="dxa"/>
              <w:bottom w:w="30" w:type="dxa"/>
              <w:right w:w="0" w:type="dxa"/>
            </w:tcMar>
            <w:vAlign w:val="bottom"/>
            <w:hideMark/>
          </w:tcPr>
          <w:p w14:paraId="651C1A98" w14:textId="77777777" w:rsidR="00D20429" w:rsidRPr="00D20429" w:rsidRDefault="00D20429" w:rsidP="00D20429">
            <w:pPr>
              <w:spacing w:after="0" w:line="240" w:lineRule="auto"/>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Net cash provided by (used in) financing activities</w:t>
            </w:r>
          </w:p>
        </w:tc>
        <w:tc>
          <w:tcPr>
            <w:tcW w:w="0" w:type="auto"/>
            <w:shd w:val="clear" w:color="auto" w:fill="FFFFFF" w:themeFill="background1"/>
            <w:tcMar>
              <w:top w:w="0" w:type="dxa"/>
              <w:left w:w="0" w:type="dxa"/>
              <w:bottom w:w="30" w:type="dxa"/>
              <w:right w:w="0" w:type="dxa"/>
            </w:tcMar>
            <w:vAlign w:val="bottom"/>
            <w:hideMark/>
          </w:tcPr>
          <w:p w14:paraId="02352259"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4B735DB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23DFF85A"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(658,794</w:t>
            </w:r>
          </w:p>
        </w:tc>
        <w:tc>
          <w:tcPr>
            <w:tcW w:w="0" w:type="auto"/>
            <w:shd w:val="clear" w:color="auto" w:fill="FFFFFF" w:themeFill="background1"/>
            <w:tcMar>
              <w:top w:w="0" w:type="dxa"/>
              <w:left w:w="0" w:type="dxa"/>
              <w:bottom w:w="30" w:type="dxa"/>
              <w:right w:w="0" w:type="dxa"/>
            </w:tcMar>
            <w:vAlign w:val="bottom"/>
            <w:hideMark/>
          </w:tcPr>
          <w:p w14:paraId="6247534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tcMar>
              <w:top w:w="0" w:type="dxa"/>
              <w:left w:w="0" w:type="dxa"/>
              <w:bottom w:w="30" w:type="dxa"/>
              <w:right w:w="0" w:type="dxa"/>
            </w:tcMar>
            <w:vAlign w:val="bottom"/>
            <w:hideMark/>
          </w:tcPr>
          <w:p w14:paraId="6551FE8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159DEB3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66566278"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95,810</w:t>
            </w:r>
          </w:p>
        </w:tc>
        <w:tc>
          <w:tcPr>
            <w:tcW w:w="0" w:type="auto"/>
            <w:shd w:val="clear" w:color="auto" w:fill="FFFFFF" w:themeFill="background1"/>
            <w:tcMar>
              <w:top w:w="0" w:type="dxa"/>
              <w:left w:w="0" w:type="dxa"/>
              <w:bottom w:w="30" w:type="dxa"/>
              <w:right w:w="0" w:type="dxa"/>
            </w:tcMar>
            <w:vAlign w:val="bottom"/>
            <w:hideMark/>
          </w:tcPr>
          <w:p w14:paraId="1B0C713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729D9B29" w14:textId="77777777" w:rsidTr="002534CB">
        <w:tc>
          <w:tcPr>
            <w:tcW w:w="0" w:type="auto"/>
            <w:shd w:val="clear" w:color="auto" w:fill="FFFFFF" w:themeFill="background1"/>
            <w:vAlign w:val="bottom"/>
            <w:hideMark/>
          </w:tcPr>
          <w:p w14:paraId="6647EB66" w14:textId="77777777" w:rsidR="00D20429" w:rsidRPr="00D20429" w:rsidRDefault="00D20429" w:rsidP="00D20429">
            <w:pPr>
              <w:spacing w:after="0" w:line="240" w:lineRule="auto"/>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Net decrease in cash</w:t>
            </w:r>
          </w:p>
        </w:tc>
        <w:tc>
          <w:tcPr>
            <w:tcW w:w="0" w:type="auto"/>
            <w:shd w:val="clear" w:color="auto" w:fill="FFFFFF" w:themeFill="background1"/>
            <w:vAlign w:val="bottom"/>
            <w:hideMark/>
          </w:tcPr>
          <w:p w14:paraId="701EA5A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2C5222C"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FBCE899"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(2,318,982</w:t>
            </w:r>
          </w:p>
        </w:tc>
        <w:tc>
          <w:tcPr>
            <w:tcW w:w="0" w:type="auto"/>
            <w:shd w:val="clear" w:color="auto" w:fill="FFFFFF" w:themeFill="background1"/>
            <w:vAlign w:val="bottom"/>
            <w:hideMark/>
          </w:tcPr>
          <w:p w14:paraId="4D33FDA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5E97328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97B5C9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C9BA8A8"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(1,672,558</w:t>
            </w:r>
          </w:p>
        </w:tc>
        <w:tc>
          <w:tcPr>
            <w:tcW w:w="0" w:type="auto"/>
            <w:shd w:val="clear" w:color="auto" w:fill="FFFFFF" w:themeFill="background1"/>
            <w:vAlign w:val="bottom"/>
            <w:hideMark/>
          </w:tcPr>
          <w:p w14:paraId="3AA1F76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r>
      <w:tr w:rsidR="00D20429" w:rsidRPr="00D20429" w14:paraId="35E7C544" w14:textId="77777777" w:rsidTr="002534CB">
        <w:tc>
          <w:tcPr>
            <w:tcW w:w="0" w:type="auto"/>
            <w:shd w:val="clear" w:color="auto" w:fill="FFFFFF" w:themeFill="background1"/>
            <w:tcMar>
              <w:top w:w="0" w:type="dxa"/>
              <w:left w:w="0" w:type="dxa"/>
              <w:bottom w:w="30" w:type="dxa"/>
              <w:right w:w="0" w:type="dxa"/>
            </w:tcMar>
            <w:vAlign w:val="bottom"/>
            <w:hideMark/>
          </w:tcPr>
          <w:p w14:paraId="23566530" w14:textId="77777777" w:rsidR="00D20429" w:rsidRPr="00D20429" w:rsidRDefault="00D20429" w:rsidP="00D20429">
            <w:pPr>
              <w:spacing w:after="0" w:line="240" w:lineRule="auto"/>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Cash, beginning of period</w:t>
            </w:r>
          </w:p>
        </w:tc>
        <w:tc>
          <w:tcPr>
            <w:tcW w:w="0" w:type="auto"/>
            <w:shd w:val="clear" w:color="auto" w:fill="FFFFFF" w:themeFill="background1"/>
            <w:tcMar>
              <w:top w:w="0" w:type="dxa"/>
              <w:left w:w="0" w:type="dxa"/>
              <w:bottom w:w="30" w:type="dxa"/>
              <w:right w:w="0" w:type="dxa"/>
            </w:tcMar>
            <w:vAlign w:val="bottom"/>
            <w:hideMark/>
          </w:tcPr>
          <w:p w14:paraId="4474AE7D"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4B56D94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5DD9AFBD"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5,147,216</w:t>
            </w:r>
          </w:p>
        </w:tc>
        <w:tc>
          <w:tcPr>
            <w:tcW w:w="0" w:type="auto"/>
            <w:shd w:val="clear" w:color="auto" w:fill="FFFFFF" w:themeFill="background1"/>
            <w:tcMar>
              <w:top w:w="0" w:type="dxa"/>
              <w:left w:w="0" w:type="dxa"/>
              <w:bottom w:w="30" w:type="dxa"/>
              <w:right w:w="0" w:type="dxa"/>
            </w:tcMar>
            <w:vAlign w:val="bottom"/>
            <w:hideMark/>
          </w:tcPr>
          <w:p w14:paraId="0337BBAF"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tcMar>
              <w:top w:w="0" w:type="dxa"/>
              <w:left w:w="0" w:type="dxa"/>
              <w:bottom w:w="30" w:type="dxa"/>
              <w:right w:w="0" w:type="dxa"/>
            </w:tcMar>
            <w:vAlign w:val="bottom"/>
            <w:hideMark/>
          </w:tcPr>
          <w:p w14:paraId="0C27C9C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6D744FF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single" w:sz="12" w:space="0" w:color="000000"/>
            </w:tcBorders>
            <w:shd w:val="clear" w:color="auto" w:fill="FFFFFF" w:themeFill="background1"/>
            <w:vAlign w:val="bottom"/>
            <w:hideMark/>
          </w:tcPr>
          <w:p w14:paraId="222C15C1"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8,958,995</w:t>
            </w:r>
          </w:p>
        </w:tc>
        <w:tc>
          <w:tcPr>
            <w:tcW w:w="0" w:type="auto"/>
            <w:shd w:val="clear" w:color="auto" w:fill="FFFFFF" w:themeFill="background1"/>
            <w:tcMar>
              <w:top w:w="0" w:type="dxa"/>
              <w:left w:w="0" w:type="dxa"/>
              <w:bottom w:w="30" w:type="dxa"/>
              <w:right w:w="0" w:type="dxa"/>
            </w:tcMar>
            <w:vAlign w:val="bottom"/>
            <w:hideMark/>
          </w:tcPr>
          <w:p w14:paraId="104B5AD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501AEAE2" w14:textId="77777777" w:rsidTr="002534CB">
        <w:tc>
          <w:tcPr>
            <w:tcW w:w="0" w:type="auto"/>
            <w:shd w:val="clear" w:color="auto" w:fill="FFFFFF" w:themeFill="background1"/>
            <w:tcMar>
              <w:top w:w="0" w:type="dxa"/>
              <w:left w:w="0" w:type="dxa"/>
              <w:bottom w:w="50" w:type="dxa"/>
              <w:right w:w="0" w:type="dxa"/>
            </w:tcMar>
            <w:vAlign w:val="bottom"/>
            <w:hideMark/>
          </w:tcPr>
          <w:p w14:paraId="1787842B" w14:textId="77777777" w:rsidR="00D20429" w:rsidRPr="00D20429" w:rsidRDefault="00D20429" w:rsidP="00D20429">
            <w:pPr>
              <w:spacing w:after="0" w:line="240" w:lineRule="auto"/>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Cash, end of period</w:t>
            </w:r>
          </w:p>
        </w:tc>
        <w:tc>
          <w:tcPr>
            <w:tcW w:w="0" w:type="auto"/>
            <w:shd w:val="clear" w:color="auto" w:fill="FFFFFF" w:themeFill="background1"/>
            <w:tcMar>
              <w:top w:w="0" w:type="dxa"/>
              <w:left w:w="0" w:type="dxa"/>
              <w:bottom w:w="50" w:type="dxa"/>
              <w:right w:w="0" w:type="dxa"/>
            </w:tcMar>
            <w:vAlign w:val="bottom"/>
            <w:hideMark/>
          </w:tcPr>
          <w:p w14:paraId="44E61D8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double" w:sz="6" w:space="0" w:color="000000"/>
            </w:tcBorders>
            <w:shd w:val="clear" w:color="auto" w:fill="FFFFFF" w:themeFill="background1"/>
            <w:vAlign w:val="bottom"/>
            <w:hideMark/>
          </w:tcPr>
          <w:p w14:paraId="4B073E2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tcBorders>
              <w:bottom w:val="double" w:sz="6" w:space="0" w:color="000000"/>
            </w:tcBorders>
            <w:shd w:val="clear" w:color="auto" w:fill="FFFFFF" w:themeFill="background1"/>
            <w:vAlign w:val="bottom"/>
            <w:hideMark/>
          </w:tcPr>
          <w:p w14:paraId="6FE71E0D"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2,828,234</w:t>
            </w:r>
          </w:p>
        </w:tc>
        <w:tc>
          <w:tcPr>
            <w:tcW w:w="0" w:type="auto"/>
            <w:shd w:val="clear" w:color="auto" w:fill="FFFFFF" w:themeFill="background1"/>
            <w:tcMar>
              <w:top w:w="0" w:type="dxa"/>
              <w:left w:w="0" w:type="dxa"/>
              <w:bottom w:w="50" w:type="dxa"/>
              <w:right w:w="0" w:type="dxa"/>
            </w:tcMar>
            <w:vAlign w:val="bottom"/>
            <w:hideMark/>
          </w:tcPr>
          <w:p w14:paraId="1078BD0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tcMar>
              <w:top w:w="0" w:type="dxa"/>
              <w:left w:w="0" w:type="dxa"/>
              <w:bottom w:w="50" w:type="dxa"/>
              <w:right w:w="0" w:type="dxa"/>
            </w:tcMar>
            <w:vAlign w:val="bottom"/>
            <w:hideMark/>
          </w:tcPr>
          <w:p w14:paraId="02F97DF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tcBorders>
              <w:bottom w:val="double" w:sz="6" w:space="0" w:color="000000"/>
            </w:tcBorders>
            <w:shd w:val="clear" w:color="auto" w:fill="FFFFFF" w:themeFill="background1"/>
            <w:vAlign w:val="bottom"/>
            <w:hideMark/>
          </w:tcPr>
          <w:p w14:paraId="3861D88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tcBorders>
              <w:bottom w:val="double" w:sz="6" w:space="0" w:color="000000"/>
            </w:tcBorders>
            <w:shd w:val="clear" w:color="auto" w:fill="FFFFFF" w:themeFill="background1"/>
            <w:vAlign w:val="bottom"/>
            <w:hideMark/>
          </w:tcPr>
          <w:p w14:paraId="1CBB7EB2"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7,286,437</w:t>
            </w:r>
          </w:p>
        </w:tc>
        <w:tc>
          <w:tcPr>
            <w:tcW w:w="0" w:type="auto"/>
            <w:shd w:val="clear" w:color="auto" w:fill="FFFFFF" w:themeFill="background1"/>
            <w:tcMar>
              <w:top w:w="0" w:type="dxa"/>
              <w:left w:w="0" w:type="dxa"/>
              <w:bottom w:w="50" w:type="dxa"/>
              <w:right w:w="0" w:type="dxa"/>
            </w:tcMar>
            <w:vAlign w:val="bottom"/>
            <w:hideMark/>
          </w:tcPr>
          <w:p w14:paraId="5FF8352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30EC4A02" w14:textId="77777777" w:rsidTr="002534CB">
        <w:tc>
          <w:tcPr>
            <w:tcW w:w="0" w:type="auto"/>
            <w:shd w:val="clear" w:color="auto" w:fill="FFFFFF" w:themeFill="background1"/>
            <w:vAlign w:val="bottom"/>
            <w:hideMark/>
          </w:tcPr>
          <w:p w14:paraId="33B1CD4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lastRenderedPageBreak/>
              <w:t> </w:t>
            </w:r>
          </w:p>
        </w:tc>
        <w:tc>
          <w:tcPr>
            <w:tcW w:w="0" w:type="auto"/>
            <w:shd w:val="clear" w:color="auto" w:fill="FFFFFF" w:themeFill="background1"/>
            <w:vAlign w:val="bottom"/>
            <w:hideMark/>
          </w:tcPr>
          <w:p w14:paraId="471CC2D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56C2FE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1275F9A0"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2F620A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74F82F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060A8A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7321356"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471CA4D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0B66D378" w14:textId="77777777" w:rsidTr="002534CB">
        <w:tc>
          <w:tcPr>
            <w:tcW w:w="0" w:type="auto"/>
            <w:shd w:val="clear" w:color="auto" w:fill="FFFFFF" w:themeFill="background1"/>
            <w:vAlign w:val="bottom"/>
            <w:hideMark/>
          </w:tcPr>
          <w:p w14:paraId="73E00544" w14:textId="77777777" w:rsidR="00D20429" w:rsidRPr="00D20429" w:rsidRDefault="00D20429" w:rsidP="00D20429">
            <w:pPr>
              <w:spacing w:after="0" w:line="240" w:lineRule="auto"/>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Cash paid during the period for:</w:t>
            </w:r>
          </w:p>
        </w:tc>
        <w:tc>
          <w:tcPr>
            <w:tcW w:w="0" w:type="auto"/>
            <w:shd w:val="clear" w:color="auto" w:fill="FFFFFF" w:themeFill="background1"/>
            <w:vAlign w:val="bottom"/>
            <w:hideMark/>
          </w:tcPr>
          <w:p w14:paraId="7436FA09"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C2320A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AA9A553"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9385392"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0EAC98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A42107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37D9512"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3CC9B1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35AEC87A" w14:textId="77777777" w:rsidTr="002534CB">
        <w:tc>
          <w:tcPr>
            <w:tcW w:w="0" w:type="auto"/>
            <w:shd w:val="clear" w:color="auto" w:fill="FFFFFF" w:themeFill="background1"/>
            <w:tcMar>
              <w:top w:w="0" w:type="dxa"/>
              <w:left w:w="200" w:type="dxa"/>
              <w:bottom w:w="0" w:type="dxa"/>
              <w:right w:w="0" w:type="dxa"/>
            </w:tcMar>
            <w:vAlign w:val="bottom"/>
            <w:hideMark/>
          </w:tcPr>
          <w:p w14:paraId="02CB5DD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Interest</w:t>
            </w:r>
          </w:p>
        </w:tc>
        <w:tc>
          <w:tcPr>
            <w:tcW w:w="0" w:type="auto"/>
            <w:shd w:val="clear" w:color="auto" w:fill="FFFFFF" w:themeFill="background1"/>
            <w:vAlign w:val="bottom"/>
            <w:hideMark/>
          </w:tcPr>
          <w:p w14:paraId="4EDCB4C3"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40F6FA4"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5F3AA60A"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205,591</w:t>
            </w:r>
          </w:p>
        </w:tc>
        <w:tc>
          <w:tcPr>
            <w:tcW w:w="0" w:type="auto"/>
            <w:shd w:val="clear" w:color="auto" w:fill="FFFFFF" w:themeFill="background1"/>
            <w:vAlign w:val="bottom"/>
            <w:hideMark/>
          </w:tcPr>
          <w:p w14:paraId="6800C81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108066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BE94E5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306E512B"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6</w:t>
            </w:r>
          </w:p>
        </w:tc>
        <w:tc>
          <w:tcPr>
            <w:tcW w:w="0" w:type="auto"/>
            <w:shd w:val="clear" w:color="auto" w:fill="FFFFFF" w:themeFill="background1"/>
            <w:vAlign w:val="bottom"/>
            <w:hideMark/>
          </w:tcPr>
          <w:p w14:paraId="132CB88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6E7BF451" w14:textId="77777777" w:rsidTr="002534CB">
        <w:tc>
          <w:tcPr>
            <w:tcW w:w="0" w:type="auto"/>
            <w:shd w:val="clear" w:color="auto" w:fill="FFFFFF" w:themeFill="background1"/>
            <w:vAlign w:val="bottom"/>
            <w:hideMark/>
          </w:tcPr>
          <w:p w14:paraId="0D4DB479" w14:textId="77777777" w:rsidR="00D20429" w:rsidRPr="00D20429" w:rsidRDefault="00D20429" w:rsidP="00D20429">
            <w:pPr>
              <w:spacing w:after="0" w:line="240" w:lineRule="auto"/>
              <w:rPr>
                <w:rFonts w:ascii="Times New Roman" w:eastAsia="Times New Roman" w:hAnsi="Times New Roman" w:cs="Times New Roman"/>
                <w:b/>
                <w:bCs/>
                <w:sz w:val="20"/>
                <w:szCs w:val="20"/>
                <w:lang w:bidi="ta-IN"/>
              </w:rPr>
            </w:pPr>
            <w:r w:rsidRPr="00D20429">
              <w:rPr>
                <w:rFonts w:ascii="Times New Roman" w:eastAsia="Times New Roman" w:hAnsi="Times New Roman" w:cs="Times New Roman"/>
                <w:b/>
                <w:bCs/>
                <w:sz w:val="20"/>
                <w:szCs w:val="20"/>
                <w:lang w:bidi="ta-IN"/>
              </w:rPr>
              <w:t>Supplemental noncash investing and financing activities:</w:t>
            </w:r>
          </w:p>
        </w:tc>
        <w:tc>
          <w:tcPr>
            <w:tcW w:w="0" w:type="auto"/>
            <w:shd w:val="clear" w:color="auto" w:fill="FFFFFF" w:themeFill="background1"/>
            <w:vAlign w:val="bottom"/>
            <w:hideMark/>
          </w:tcPr>
          <w:p w14:paraId="79112DF7"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31D5CC9"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87D4ED5"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A46039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B058DC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F1BF849"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F10D3D3"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39B0E3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133C4916" w14:textId="77777777" w:rsidTr="002534CB">
        <w:tc>
          <w:tcPr>
            <w:tcW w:w="0" w:type="auto"/>
            <w:shd w:val="clear" w:color="auto" w:fill="FFFFFF" w:themeFill="background1"/>
            <w:tcMar>
              <w:top w:w="0" w:type="dxa"/>
              <w:left w:w="200" w:type="dxa"/>
              <w:bottom w:w="0" w:type="dxa"/>
              <w:right w:w="0" w:type="dxa"/>
            </w:tcMar>
            <w:vAlign w:val="bottom"/>
            <w:hideMark/>
          </w:tcPr>
          <w:p w14:paraId="2458C010"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Equity offering accrued proceeds</w:t>
            </w:r>
          </w:p>
        </w:tc>
        <w:tc>
          <w:tcPr>
            <w:tcW w:w="0" w:type="auto"/>
            <w:shd w:val="clear" w:color="auto" w:fill="FFFFFF" w:themeFill="background1"/>
            <w:vAlign w:val="bottom"/>
            <w:hideMark/>
          </w:tcPr>
          <w:p w14:paraId="7BCCEA5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F48201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0D031933"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4AEA7818"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00DFDE6"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3D2177A"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3DDB82A1"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282,010</w:t>
            </w:r>
          </w:p>
        </w:tc>
        <w:tc>
          <w:tcPr>
            <w:tcW w:w="0" w:type="auto"/>
            <w:shd w:val="clear" w:color="auto" w:fill="FFFFFF" w:themeFill="background1"/>
            <w:vAlign w:val="bottom"/>
            <w:hideMark/>
          </w:tcPr>
          <w:p w14:paraId="292F362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r w:rsidR="00D20429" w:rsidRPr="00D20429" w14:paraId="0F2AEED0" w14:textId="77777777" w:rsidTr="002534CB">
        <w:tc>
          <w:tcPr>
            <w:tcW w:w="0" w:type="auto"/>
            <w:shd w:val="clear" w:color="auto" w:fill="FFFFFF" w:themeFill="background1"/>
            <w:tcMar>
              <w:top w:w="0" w:type="dxa"/>
              <w:left w:w="200" w:type="dxa"/>
              <w:bottom w:w="0" w:type="dxa"/>
              <w:right w:w="0" w:type="dxa"/>
            </w:tcMar>
            <w:vAlign w:val="bottom"/>
            <w:hideMark/>
          </w:tcPr>
          <w:p w14:paraId="0ACC9435"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Right of use assets obtained in exchange for lease obligations</w:t>
            </w:r>
          </w:p>
        </w:tc>
        <w:tc>
          <w:tcPr>
            <w:tcW w:w="0" w:type="auto"/>
            <w:shd w:val="clear" w:color="auto" w:fill="FFFFFF" w:themeFill="background1"/>
            <w:vAlign w:val="bottom"/>
            <w:hideMark/>
          </w:tcPr>
          <w:p w14:paraId="655E661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180042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572B5C86"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w:t>
            </w:r>
          </w:p>
        </w:tc>
        <w:tc>
          <w:tcPr>
            <w:tcW w:w="0" w:type="auto"/>
            <w:shd w:val="clear" w:color="auto" w:fill="FFFFFF" w:themeFill="background1"/>
            <w:vAlign w:val="bottom"/>
            <w:hideMark/>
          </w:tcPr>
          <w:p w14:paraId="3589684E"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73735A31"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2B57EC2F"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c>
          <w:tcPr>
            <w:tcW w:w="0" w:type="auto"/>
            <w:shd w:val="clear" w:color="auto" w:fill="FFFFFF" w:themeFill="background1"/>
            <w:vAlign w:val="bottom"/>
            <w:hideMark/>
          </w:tcPr>
          <w:p w14:paraId="670C8D94" w14:textId="77777777" w:rsidR="00D20429" w:rsidRPr="00D20429" w:rsidRDefault="00D20429" w:rsidP="00D20429">
            <w:pPr>
              <w:spacing w:after="0" w:line="240" w:lineRule="auto"/>
              <w:jc w:val="right"/>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1,369,164</w:t>
            </w:r>
          </w:p>
        </w:tc>
        <w:tc>
          <w:tcPr>
            <w:tcW w:w="0" w:type="auto"/>
            <w:shd w:val="clear" w:color="auto" w:fill="FFFFFF" w:themeFill="background1"/>
            <w:vAlign w:val="bottom"/>
            <w:hideMark/>
          </w:tcPr>
          <w:p w14:paraId="67A0640B" w14:textId="77777777" w:rsidR="00D20429" w:rsidRPr="00D20429" w:rsidRDefault="00D20429" w:rsidP="00D20429">
            <w:pPr>
              <w:spacing w:after="0" w:line="240" w:lineRule="auto"/>
              <w:rPr>
                <w:rFonts w:ascii="Times New Roman" w:eastAsia="Times New Roman" w:hAnsi="Times New Roman" w:cs="Times New Roman"/>
                <w:sz w:val="20"/>
                <w:szCs w:val="20"/>
                <w:lang w:bidi="ta-IN"/>
              </w:rPr>
            </w:pPr>
            <w:r w:rsidRPr="00D20429">
              <w:rPr>
                <w:rFonts w:ascii="Times New Roman" w:eastAsia="Times New Roman" w:hAnsi="Times New Roman" w:cs="Times New Roman"/>
                <w:sz w:val="20"/>
                <w:szCs w:val="20"/>
                <w:lang w:bidi="ta-IN"/>
              </w:rPr>
              <w:t> </w:t>
            </w:r>
          </w:p>
        </w:tc>
      </w:tr>
    </w:tbl>
    <w:p w14:paraId="741F2B3B" w14:textId="77777777" w:rsidR="00F50C9B" w:rsidRDefault="00F50C9B" w:rsidP="00D20429">
      <w:pPr>
        <w:jc w:val="center"/>
        <w:rPr>
          <w:rFonts w:ascii="Times New Roman" w:hAnsi="Times New Roman" w:cs="Times New Roman"/>
          <w:b/>
          <w:bCs/>
          <w:sz w:val="20"/>
          <w:szCs w:val="20"/>
          <w:u w:val="single"/>
        </w:rPr>
      </w:pPr>
    </w:p>
    <w:p w14:paraId="5E698DAB" w14:textId="028DA87C" w:rsidR="007B59CA" w:rsidRDefault="007B59CA" w:rsidP="00D20429">
      <w:pPr>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Reconciliation of GAAP to Non-GAAP Financial Measures</w:t>
      </w:r>
    </w:p>
    <w:p w14:paraId="7E884570" w14:textId="77777777" w:rsidR="009A5F76" w:rsidRDefault="009A5F76" w:rsidP="009A5F76">
      <w:pPr>
        <w:spacing w:after="0"/>
        <w:rPr>
          <w:rFonts w:ascii="Times New Roman" w:hAnsi="Times New Roman" w:cs="Times New Roman"/>
          <w:b/>
          <w:bCs/>
          <w:sz w:val="20"/>
          <w:szCs w:val="20"/>
        </w:rPr>
      </w:pPr>
    </w:p>
    <w:p w14:paraId="5E4DEEF4" w14:textId="02C3712F" w:rsidR="009A5F76" w:rsidRDefault="009A5F76" w:rsidP="009A5F76">
      <w:pPr>
        <w:spacing w:after="0"/>
        <w:rPr>
          <w:rFonts w:ascii="Times New Roman" w:hAnsi="Times New Roman" w:cs="Times New Roman"/>
          <w:b/>
          <w:bCs/>
          <w:sz w:val="20"/>
          <w:szCs w:val="20"/>
        </w:rPr>
      </w:pPr>
      <w:r w:rsidRPr="000A565A">
        <w:rPr>
          <w:rFonts w:ascii="Times New Roman" w:hAnsi="Times New Roman" w:cs="Times New Roman"/>
          <w:b/>
          <w:bCs/>
          <w:sz w:val="20"/>
          <w:szCs w:val="20"/>
        </w:rPr>
        <w:t>Reconciliation of Net Loss to Adjusted EBITDA</w:t>
      </w:r>
      <w:r w:rsidR="003B19F1">
        <w:rPr>
          <w:rFonts w:ascii="Times New Roman" w:hAnsi="Times New Roman" w:cs="Times New Roman"/>
          <w:b/>
          <w:bCs/>
          <w:sz w:val="20"/>
          <w:szCs w:val="20"/>
        </w:rPr>
        <w:t xml:space="preserve"> </w:t>
      </w:r>
      <w:r w:rsidR="003B19F1" w:rsidRPr="000A565A">
        <w:rPr>
          <w:rFonts w:ascii="Times New Roman" w:hAnsi="Times New Roman" w:cs="Times New Roman"/>
          <w:b/>
          <w:bCs/>
          <w:sz w:val="20"/>
          <w:szCs w:val="20"/>
        </w:rPr>
        <w:t>(Unaudited)</w:t>
      </w:r>
      <w:r w:rsidRPr="000A565A">
        <w:rPr>
          <w:rFonts w:ascii="Times New Roman" w:hAnsi="Times New Roman" w:cs="Times New Roman"/>
          <w:b/>
          <w:bCs/>
          <w:sz w:val="20"/>
          <w:szCs w:val="20"/>
        </w:rPr>
        <w:t>:</w:t>
      </w:r>
    </w:p>
    <w:p w14:paraId="59D461C6" w14:textId="77777777" w:rsidR="003B19F1" w:rsidRPr="000A565A" w:rsidRDefault="003B19F1" w:rsidP="009A5F76">
      <w:pPr>
        <w:spacing w:after="0"/>
        <w:rPr>
          <w:rFonts w:ascii="Times New Roman" w:hAnsi="Times New Roman" w:cs="Times New Roman"/>
          <w:b/>
          <w:bCs/>
          <w:sz w:val="20"/>
          <w:szCs w:val="20"/>
        </w:rPr>
      </w:pPr>
    </w:p>
    <w:tbl>
      <w:tblPr>
        <w:tblW w:w="8223" w:type="dxa"/>
        <w:jc w:val="center"/>
        <w:tblLook w:val="04A0" w:firstRow="1" w:lastRow="0" w:firstColumn="1" w:lastColumn="0" w:noHBand="0" w:noVBand="1"/>
      </w:tblPr>
      <w:tblGrid>
        <w:gridCol w:w="5040"/>
        <w:gridCol w:w="316"/>
        <w:gridCol w:w="1164"/>
        <w:gridCol w:w="222"/>
        <w:gridCol w:w="316"/>
        <w:gridCol w:w="1165"/>
      </w:tblGrid>
      <w:tr w:rsidR="00E54B13" w:rsidRPr="00E54B13" w14:paraId="30716CE4" w14:textId="77777777" w:rsidTr="00EB35E7">
        <w:trPr>
          <w:trHeight w:val="300"/>
          <w:jc w:val="center"/>
        </w:trPr>
        <w:tc>
          <w:tcPr>
            <w:tcW w:w="5040" w:type="dxa"/>
            <w:tcBorders>
              <w:top w:val="nil"/>
              <w:left w:val="nil"/>
              <w:bottom w:val="nil"/>
              <w:right w:val="nil"/>
            </w:tcBorders>
            <w:shd w:val="clear" w:color="auto" w:fill="auto"/>
            <w:noWrap/>
            <w:vAlign w:val="bottom"/>
            <w:hideMark/>
          </w:tcPr>
          <w:p w14:paraId="1358387B" w14:textId="77777777" w:rsidR="00E54B13" w:rsidRPr="00E54B13" w:rsidRDefault="00E54B13" w:rsidP="00E54B13">
            <w:pPr>
              <w:spacing w:after="0" w:line="240" w:lineRule="auto"/>
              <w:rPr>
                <w:rFonts w:ascii="Times New Roman" w:eastAsia="Times New Roman" w:hAnsi="Times New Roman" w:cs="Times New Roman"/>
                <w:sz w:val="24"/>
                <w:szCs w:val="24"/>
              </w:rPr>
            </w:pPr>
          </w:p>
        </w:tc>
        <w:tc>
          <w:tcPr>
            <w:tcW w:w="3183" w:type="dxa"/>
            <w:gridSpan w:val="5"/>
            <w:tcBorders>
              <w:top w:val="nil"/>
              <w:left w:val="nil"/>
              <w:bottom w:val="nil"/>
              <w:right w:val="nil"/>
            </w:tcBorders>
            <w:shd w:val="clear" w:color="auto" w:fill="auto"/>
            <w:vAlign w:val="bottom"/>
            <w:hideMark/>
          </w:tcPr>
          <w:p w14:paraId="3A7B8A32" w14:textId="77777777" w:rsidR="00E54B13" w:rsidRPr="00E54B13" w:rsidRDefault="00E54B13" w:rsidP="00E54B13">
            <w:pPr>
              <w:spacing w:after="0" w:line="240" w:lineRule="auto"/>
              <w:jc w:val="center"/>
              <w:rPr>
                <w:rFonts w:ascii="Times New Roman" w:eastAsia="Times New Roman" w:hAnsi="Times New Roman" w:cs="Times New Roman"/>
                <w:b/>
                <w:bCs/>
                <w:color w:val="000000"/>
                <w:sz w:val="20"/>
                <w:szCs w:val="20"/>
              </w:rPr>
            </w:pPr>
            <w:r w:rsidRPr="00E54B13">
              <w:rPr>
                <w:rFonts w:ascii="Times New Roman" w:eastAsia="Times New Roman" w:hAnsi="Times New Roman" w:cs="Times New Roman"/>
                <w:b/>
                <w:bCs/>
                <w:color w:val="000000"/>
                <w:sz w:val="20"/>
                <w:szCs w:val="20"/>
              </w:rPr>
              <w:t>Three Months Ended</w:t>
            </w:r>
          </w:p>
        </w:tc>
      </w:tr>
      <w:tr w:rsidR="00E54B13" w:rsidRPr="00E54B13" w14:paraId="495D9223" w14:textId="77777777" w:rsidTr="00EB35E7">
        <w:trPr>
          <w:trHeight w:val="300"/>
          <w:jc w:val="center"/>
        </w:trPr>
        <w:tc>
          <w:tcPr>
            <w:tcW w:w="5040" w:type="dxa"/>
            <w:tcBorders>
              <w:top w:val="nil"/>
              <w:left w:val="nil"/>
              <w:bottom w:val="nil"/>
              <w:right w:val="nil"/>
            </w:tcBorders>
            <w:shd w:val="clear" w:color="auto" w:fill="auto"/>
            <w:noWrap/>
            <w:vAlign w:val="bottom"/>
            <w:hideMark/>
          </w:tcPr>
          <w:p w14:paraId="0A6B40AC" w14:textId="77777777" w:rsidR="00E54B13" w:rsidRPr="00E54B13" w:rsidRDefault="00E54B13" w:rsidP="00E54B13">
            <w:pPr>
              <w:spacing w:after="0" w:line="240" w:lineRule="auto"/>
              <w:jc w:val="center"/>
              <w:rPr>
                <w:rFonts w:ascii="Times New Roman" w:eastAsia="Times New Roman" w:hAnsi="Times New Roman" w:cs="Times New Roman"/>
                <w:b/>
                <w:bCs/>
                <w:color w:val="000000"/>
                <w:sz w:val="20"/>
                <w:szCs w:val="20"/>
              </w:rPr>
            </w:pPr>
          </w:p>
        </w:tc>
        <w:tc>
          <w:tcPr>
            <w:tcW w:w="3183" w:type="dxa"/>
            <w:gridSpan w:val="5"/>
            <w:tcBorders>
              <w:top w:val="nil"/>
              <w:left w:val="nil"/>
              <w:bottom w:val="single" w:sz="8" w:space="0" w:color="000000"/>
              <w:right w:val="nil"/>
            </w:tcBorders>
            <w:shd w:val="clear" w:color="auto" w:fill="auto"/>
            <w:vAlign w:val="bottom"/>
            <w:hideMark/>
          </w:tcPr>
          <w:p w14:paraId="4F9CB1CB" w14:textId="77777777" w:rsidR="00E54B13" w:rsidRPr="00E54B13" w:rsidRDefault="00E54B13" w:rsidP="00E54B13">
            <w:pPr>
              <w:spacing w:after="0" w:line="240" w:lineRule="auto"/>
              <w:jc w:val="center"/>
              <w:rPr>
                <w:rFonts w:ascii="Times New Roman" w:eastAsia="Times New Roman" w:hAnsi="Times New Roman" w:cs="Times New Roman"/>
                <w:b/>
                <w:bCs/>
                <w:color w:val="000000"/>
                <w:sz w:val="20"/>
                <w:szCs w:val="20"/>
              </w:rPr>
            </w:pPr>
            <w:r w:rsidRPr="00E54B13">
              <w:rPr>
                <w:rFonts w:ascii="Times New Roman" w:eastAsia="Times New Roman" w:hAnsi="Times New Roman" w:cs="Times New Roman"/>
                <w:b/>
                <w:bCs/>
                <w:color w:val="000000"/>
                <w:sz w:val="20"/>
                <w:szCs w:val="20"/>
              </w:rPr>
              <w:t>March 31,</w:t>
            </w:r>
          </w:p>
        </w:tc>
      </w:tr>
      <w:tr w:rsidR="00E54B13" w:rsidRPr="00E54B13" w14:paraId="06314070" w14:textId="77777777" w:rsidTr="00EB35E7">
        <w:trPr>
          <w:trHeight w:val="300"/>
          <w:jc w:val="center"/>
        </w:trPr>
        <w:tc>
          <w:tcPr>
            <w:tcW w:w="5040" w:type="dxa"/>
            <w:tcBorders>
              <w:top w:val="nil"/>
              <w:left w:val="nil"/>
              <w:bottom w:val="nil"/>
              <w:right w:val="nil"/>
            </w:tcBorders>
            <w:shd w:val="clear" w:color="auto" w:fill="auto"/>
            <w:noWrap/>
            <w:vAlign w:val="bottom"/>
            <w:hideMark/>
          </w:tcPr>
          <w:p w14:paraId="25BC16F1" w14:textId="77777777" w:rsidR="00E54B13" w:rsidRPr="00E54B13" w:rsidRDefault="00E54B13" w:rsidP="00E54B13">
            <w:pPr>
              <w:spacing w:after="0" w:line="240" w:lineRule="auto"/>
              <w:jc w:val="center"/>
              <w:rPr>
                <w:rFonts w:ascii="Times New Roman" w:eastAsia="Times New Roman" w:hAnsi="Times New Roman" w:cs="Times New Roman"/>
                <w:b/>
                <w:bCs/>
                <w:color w:val="000000"/>
                <w:sz w:val="20"/>
                <w:szCs w:val="20"/>
              </w:rPr>
            </w:pPr>
          </w:p>
        </w:tc>
        <w:tc>
          <w:tcPr>
            <w:tcW w:w="1480" w:type="dxa"/>
            <w:gridSpan w:val="2"/>
            <w:tcBorders>
              <w:top w:val="single" w:sz="8" w:space="0" w:color="000000"/>
              <w:left w:val="nil"/>
              <w:bottom w:val="single" w:sz="8" w:space="0" w:color="000000"/>
              <w:right w:val="nil"/>
            </w:tcBorders>
            <w:shd w:val="clear" w:color="auto" w:fill="auto"/>
            <w:vAlign w:val="bottom"/>
            <w:hideMark/>
          </w:tcPr>
          <w:p w14:paraId="3BC8E74E" w14:textId="77777777" w:rsidR="00E54B13" w:rsidRPr="00E54B13" w:rsidRDefault="00E54B13" w:rsidP="00E54B13">
            <w:pPr>
              <w:spacing w:after="0" w:line="240" w:lineRule="auto"/>
              <w:jc w:val="center"/>
              <w:rPr>
                <w:rFonts w:ascii="Times New Roman" w:eastAsia="Times New Roman" w:hAnsi="Times New Roman" w:cs="Times New Roman"/>
                <w:b/>
                <w:bCs/>
                <w:color w:val="000000"/>
                <w:sz w:val="20"/>
                <w:szCs w:val="20"/>
              </w:rPr>
            </w:pPr>
            <w:r w:rsidRPr="00E54B13">
              <w:rPr>
                <w:rFonts w:ascii="Times New Roman" w:eastAsia="Times New Roman" w:hAnsi="Times New Roman" w:cs="Times New Roman"/>
                <w:b/>
                <w:bCs/>
                <w:color w:val="000000"/>
                <w:sz w:val="20"/>
                <w:szCs w:val="20"/>
              </w:rPr>
              <w:t>2024</w:t>
            </w:r>
          </w:p>
        </w:tc>
        <w:tc>
          <w:tcPr>
            <w:tcW w:w="222" w:type="dxa"/>
            <w:tcBorders>
              <w:top w:val="nil"/>
              <w:left w:val="nil"/>
              <w:bottom w:val="nil"/>
              <w:right w:val="nil"/>
            </w:tcBorders>
            <w:shd w:val="clear" w:color="auto" w:fill="auto"/>
            <w:vAlign w:val="bottom"/>
            <w:hideMark/>
          </w:tcPr>
          <w:p w14:paraId="255E6751" w14:textId="77777777" w:rsidR="00E54B13" w:rsidRPr="00E54B13" w:rsidRDefault="00E54B13" w:rsidP="00E54B13">
            <w:pPr>
              <w:spacing w:after="0" w:line="240" w:lineRule="auto"/>
              <w:jc w:val="center"/>
              <w:rPr>
                <w:rFonts w:ascii="Times New Roman" w:eastAsia="Times New Roman" w:hAnsi="Times New Roman" w:cs="Times New Roman"/>
                <w:b/>
                <w:bCs/>
                <w:color w:val="000000"/>
                <w:sz w:val="20"/>
                <w:szCs w:val="20"/>
              </w:rPr>
            </w:pPr>
          </w:p>
        </w:tc>
        <w:tc>
          <w:tcPr>
            <w:tcW w:w="1481" w:type="dxa"/>
            <w:gridSpan w:val="2"/>
            <w:tcBorders>
              <w:top w:val="single" w:sz="8" w:space="0" w:color="000000"/>
              <w:left w:val="nil"/>
              <w:bottom w:val="single" w:sz="8" w:space="0" w:color="000000"/>
              <w:right w:val="nil"/>
            </w:tcBorders>
            <w:shd w:val="clear" w:color="auto" w:fill="auto"/>
            <w:vAlign w:val="bottom"/>
            <w:hideMark/>
          </w:tcPr>
          <w:p w14:paraId="31AE48F2" w14:textId="77777777" w:rsidR="00E54B13" w:rsidRPr="00E54B13" w:rsidRDefault="00E54B13" w:rsidP="00E54B13">
            <w:pPr>
              <w:spacing w:after="0" w:line="240" w:lineRule="auto"/>
              <w:jc w:val="center"/>
              <w:rPr>
                <w:rFonts w:ascii="Times New Roman" w:eastAsia="Times New Roman" w:hAnsi="Times New Roman" w:cs="Times New Roman"/>
                <w:b/>
                <w:bCs/>
                <w:color w:val="000000"/>
                <w:sz w:val="20"/>
                <w:szCs w:val="20"/>
              </w:rPr>
            </w:pPr>
            <w:r w:rsidRPr="00E54B13">
              <w:rPr>
                <w:rFonts w:ascii="Times New Roman" w:eastAsia="Times New Roman" w:hAnsi="Times New Roman" w:cs="Times New Roman"/>
                <w:b/>
                <w:bCs/>
                <w:color w:val="000000"/>
                <w:sz w:val="20"/>
                <w:szCs w:val="20"/>
              </w:rPr>
              <w:t>2023</w:t>
            </w:r>
          </w:p>
        </w:tc>
      </w:tr>
      <w:tr w:rsidR="00E54B13" w:rsidRPr="00E54B13" w14:paraId="08A87FB4" w14:textId="77777777" w:rsidTr="00EB35E7">
        <w:trPr>
          <w:trHeight w:val="300"/>
          <w:jc w:val="center"/>
        </w:trPr>
        <w:tc>
          <w:tcPr>
            <w:tcW w:w="5040" w:type="dxa"/>
            <w:tcBorders>
              <w:top w:val="nil"/>
              <w:left w:val="nil"/>
              <w:bottom w:val="nil"/>
              <w:right w:val="nil"/>
            </w:tcBorders>
            <w:shd w:val="clear" w:color="auto" w:fill="auto"/>
            <w:noWrap/>
            <w:vAlign w:val="bottom"/>
            <w:hideMark/>
          </w:tcPr>
          <w:p w14:paraId="2A81B7F8" w14:textId="77777777" w:rsidR="00E54B13" w:rsidRPr="00E54B13" w:rsidRDefault="00E54B13" w:rsidP="00E54B13">
            <w:pPr>
              <w:spacing w:after="0" w:line="240" w:lineRule="auto"/>
              <w:jc w:val="center"/>
              <w:rPr>
                <w:rFonts w:ascii="Times New Roman" w:eastAsia="Times New Roman" w:hAnsi="Times New Roman" w:cs="Times New Roman"/>
                <w:b/>
                <w:bCs/>
                <w:color w:val="000000"/>
                <w:sz w:val="20"/>
                <w:szCs w:val="20"/>
              </w:rPr>
            </w:pPr>
          </w:p>
        </w:tc>
        <w:tc>
          <w:tcPr>
            <w:tcW w:w="316" w:type="dxa"/>
            <w:tcBorders>
              <w:top w:val="nil"/>
              <w:left w:val="nil"/>
              <w:bottom w:val="nil"/>
              <w:right w:val="nil"/>
            </w:tcBorders>
            <w:shd w:val="clear" w:color="auto" w:fill="auto"/>
            <w:noWrap/>
            <w:vAlign w:val="bottom"/>
            <w:hideMark/>
          </w:tcPr>
          <w:p w14:paraId="4D7B702C" w14:textId="77777777" w:rsidR="00E54B13" w:rsidRPr="00E54B13" w:rsidRDefault="00E54B13" w:rsidP="00E54B13">
            <w:pPr>
              <w:spacing w:after="0" w:line="240" w:lineRule="auto"/>
              <w:rPr>
                <w:rFonts w:ascii="Times New Roman" w:eastAsia="Times New Roman" w:hAnsi="Times New Roman" w:cs="Times New Roman"/>
                <w:sz w:val="20"/>
                <w:szCs w:val="20"/>
              </w:rPr>
            </w:pPr>
          </w:p>
        </w:tc>
        <w:tc>
          <w:tcPr>
            <w:tcW w:w="1164" w:type="dxa"/>
            <w:tcBorders>
              <w:top w:val="nil"/>
              <w:left w:val="nil"/>
              <w:bottom w:val="nil"/>
              <w:right w:val="nil"/>
            </w:tcBorders>
            <w:shd w:val="clear" w:color="auto" w:fill="auto"/>
            <w:noWrap/>
            <w:vAlign w:val="bottom"/>
            <w:hideMark/>
          </w:tcPr>
          <w:p w14:paraId="138B21FA" w14:textId="77777777" w:rsidR="00E54B13" w:rsidRPr="00E54B13" w:rsidRDefault="00E54B13" w:rsidP="00E54B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BA32D10" w14:textId="77777777" w:rsidR="00E54B13" w:rsidRPr="00E54B13" w:rsidRDefault="00E54B13" w:rsidP="00E54B13">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1E04B653" w14:textId="77777777" w:rsidR="00E54B13" w:rsidRPr="00E54B13" w:rsidRDefault="00E54B13" w:rsidP="00E54B13">
            <w:pPr>
              <w:spacing w:after="0" w:line="240" w:lineRule="auto"/>
              <w:rPr>
                <w:rFonts w:ascii="Times New Roman" w:eastAsia="Times New Roman" w:hAnsi="Times New Roman" w:cs="Times New Roman"/>
                <w:sz w:val="20"/>
                <w:szCs w:val="20"/>
              </w:rPr>
            </w:pPr>
          </w:p>
        </w:tc>
        <w:tc>
          <w:tcPr>
            <w:tcW w:w="1165" w:type="dxa"/>
            <w:tcBorders>
              <w:top w:val="nil"/>
              <w:left w:val="nil"/>
              <w:bottom w:val="nil"/>
              <w:right w:val="nil"/>
            </w:tcBorders>
            <w:shd w:val="clear" w:color="auto" w:fill="auto"/>
            <w:noWrap/>
            <w:vAlign w:val="bottom"/>
            <w:hideMark/>
          </w:tcPr>
          <w:p w14:paraId="35D35D21" w14:textId="77777777" w:rsidR="00E54B13" w:rsidRPr="00E54B13" w:rsidRDefault="00E54B13" w:rsidP="00E54B13">
            <w:pPr>
              <w:spacing w:after="0" w:line="240" w:lineRule="auto"/>
              <w:rPr>
                <w:rFonts w:ascii="Times New Roman" w:eastAsia="Times New Roman" w:hAnsi="Times New Roman" w:cs="Times New Roman"/>
                <w:sz w:val="20"/>
                <w:szCs w:val="20"/>
              </w:rPr>
            </w:pPr>
          </w:p>
        </w:tc>
      </w:tr>
      <w:tr w:rsidR="00E54B13" w:rsidRPr="00E54B13" w14:paraId="446D527B" w14:textId="77777777" w:rsidTr="00EB35E7">
        <w:trPr>
          <w:trHeight w:val="300"/>
          <w:jc w:val="center"/>
        </w:trPr>
        <w:tc>
          <w:tcPr>
            <w:tcW w:w="5040" w:type="dxa"/>
            <w:tcBorders>
              <w:top w:val="nil"/>
              <w:left w:val="nil"/>
              <w:bottom w:val="nil"/>
              <w:right w:val="nil"/>
            </w:tcBorders>
            <w:shd w:val="clear" w:color="auto" w:fill="auto"/>
            <w:noWrap/>
            <w:vAlign w:val="bottom"/>
            <w:hideMark/>
          </w:tcPr>
          <w:p w14:paraId="4337BF28" w14:textId="77777777" w:rsidR="00E54B13" w:rsidRPr="00E54B13" w:rsidRDefault="00E54B13" w:rsidP="00E54B13">
            <w:pPr>
              <w:spacing w:after="0" w:line="240" w:lineRule="auto"/>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Net Loss</w:t>
            </w:r>
          </w:p>
        </w:tc>
        <w:tc>
          <w:tcPr>
            <w:tcW w:w="316" w:type="dxa"/>
            <w:tcBorders>
              <w:top w:val="nil"/>
              <w:left w:val="nil"/>
              <w:bottom w:val="nil"/>
              <w:right w:val="nil"/>
            </w:tcBorders>
            <w:shd w:val="clear" w:color="auto" w:fill="auto"/>
            <w:noWrap/>
            <w:vAlign w:val="bottom"/>
            <w:hideMark/>
          </w:tcPr>
          <w:p w14:paraId="4CAD4629" w14:textId="77777777" w:rsidR="00E54B13" w:rsidRPr="00E54B13" w:rsidRDefault="00E54B13" w:rsidP="00E54B13">
            <w:pPr>
              <w:spacing w:after="0" w:line="240" w:lineRule="auto"/>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w:t>
            </w:r>
          </w:p>
        </w:tc>
        <w:tc>
          <w:tcPr>
            <w:tcW w:w="1164" w:type="dxa"/>
            <w:tcBorders>
              <w:top w:val="nil"/>
              <w:left w:val="nil"/>
              <w:bottom w:val="nil"/>
              <w:right w:val="nil"/>
            </w:tcBorders>
            <w:shd w:val="clear" w:color="auto" w:fill="auto"/>
            <w:noWrap/>
            <w:vAlign w:val="bottom"/>
            <w:hideMark/>
          </w:tcPr>
          <w:p w14:paraId="2E696A90"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(1,764,184)</w:t>
            </w:r>
          </w:p>
        </w:tc>
        <w:tc>
          <w:tcPr>
            <w:tcW w:w="222" w:type="dxa"/>
            <w:tcBorders>
              <w:top w:val="nil"/>
              <w:left w:val="nil"/>
              <w:bottom w:val="nil"/>
              <w:right w:val="nil"/>
            </w:tcBorders>
            <w:shd w:val="clear" w:color="auto" w:fill="auto"/>
            <w:noWrap/>
            <w:vAlign w:val="bottom"/>
            <w:hideMark/>
          </w:tcPr>
          <w:p w14:paraId="1D29DDB9"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6A2BB9A7" w14:textId="77777777" w:rsidR="00E54B13" w:rsidRPr="00E54B13" w:rsidRDefault="00E54B13" w:rsidP="00E54B13">
            <w:pPr>
              <w:spacing w:after="0" w:line="240" w:lineRule="auto"/>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w:t>
            </w:r>
          </w:p>
        </w:tc>
        <w:tc>
          <w:tcPr>
            <w:tcW w:w="1165" w:type="dxa"/>
            <w:tcBorders>
              <w:top w:val="nil"/>
              <w:left w:val="nil"/>
              <w:bottom w:val="nil"/>
              <w:right w:val="nil"/>
            </w:tcBorders>
            <w:shd w:val="clear" w:color="auto" w:fill="auto"/>
            <w:noWrap/>
            <w:vAlign w:val="bottom"/>
            <w:hideMark/>
          </w:tcPr>
          <w:p w14:paraId="2A7E2565"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(1,177,900)</w:t>
            </w:r>
          </w:p>
        </w:tc>
      </w:tr>
      <w:tr w:rsidR="00E54B13" w:rsidRPr="00E54B13" w14:paraId="6E9C4852" w14:textId="77777777" w:rsidTr="00EB35E7">
        <w:trPr>
          <w:trHeight w:val="300"/>
          <w:jc w:val="center"/>
        </w:trPr>
        <w:tc>
          <w:tcPr>
            <w:tcW w:w="5040" w:type="dxa"/>
            <w:tcBorders>
              <w:top w:val="nil"/>
              <w:left w:val="nil"/>
              <w:bottom w:val="nil"/>
              <w:right w:val="nil"/>
            </w:tcBorders>
            <w:shd w:val="clear" w:color="auto" w:fill="auto"/>
            <w:noWrap/>
            <w:vAlign w:val="bottom"/>
            <w:hideMark/>
          </w:tcPr>
          <w:p w14:paraId="31021AC4" w14:textId="77777777" w:rsidR="00E54B13" w:rsidRPr="00E54B13" w:rsidRDefault="00E54B13" w:rsidP="00E54B13">
            <w:pPr>
              <w:spacing w:after="0" w:line="240" w:lineRule="auto"/>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Adjustments</w:t>
            </w:r>
          </w:p>
        </w:tc>
        <w:tc>
          <w:tcPr>
            <w:tcW w:w="316" w:type="dxa"/>
            <w:tcBorders>
              <w:top w:val="nil"/>
              <w:left w:val="nil"/>
              <w:bottom w:val="nil"/>
              <w:right w:val="nil"/>
            </w:tcBorders>
            <w:shd w:val="clear" w:color="auto" w:fill="auto"/>
            <w:noWrap/>
            <w:vAlign w:val="bottom"/>
            <w:hideMark/>
          </w:tcPr>
          <w:p w14:paraId="38C9A220" w14:textId="77777777" w:rsidR="00E54B13" w:rsidRPr="00E54B13" w:rsidRDefault="00E54B13" w:rsidP="00E54B13">
            <w:pPr>
              <w:spacing w:after="0" w:line="240" w:lineRule="auto"/>
              <w:rPr>
                <w:rFonts w:ascii="Times New Roman" w:eastAsia="Times New Roman" w:hAnsi="Times New Roman" w:cs="Times New Roman"/>
                <w:color w:val="000000"/>
                <w:sz w:val="20"/>
                <w:szCs w:val="20"/>
              </w:rPr>
            </w:pPr>
          </w:p>
        </w:tc>
        <w:tc>
          <w:tcPr>
            <w:tcW w:w="1164" w:type="dxa"/>
            <w:tcBorders>
              <w:top w:val="nil"/>
              <w:left w:val="nil"/>
              <w:bottom w:val="nil"/>
              <w:right w:val="nil"/>
            </w:tcBorders>
            <w:shd w:val="clear" w:color="auto" w:fill="auto"/>
            <w:noWrap/>
            <w:vAlign w:val="bottom"/>
            <w:hideMark/>
          </w:tcPr>
          <w:p w14:paraId="2A5D860F" w14:textId="77777777" w:rsidR="00E54B13" w:rsidRPr="00E54B13" w:rsidRDefault="00E54B13" w:rsidP="00E54B13">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0ECBE85" w14:textId="77777777" w:rsidR="00E54B13" w:rsidRPr="00E54B13" w:rsidRDefault="00E54B13" w:rsidP="00E54B13">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7555E2AF" w14:textId="77777777" w:rsidR="00E54B13" w:rsidRPr="00E54B13" w:rsidRDefault="00E54B13" w:rsidP="00E54B13">
            <w:pPr>
              <w:spacing w:after="0" w:line="240" w:lineRule="auto"/>
              <w:rPr>
                <w:rFonts w:ascii="Times New Roman" w:eastAsia="Times New Roman" w:hAnsi="Times New Roman" w:cs="Times New Roman"/>
                <w:sz w:val="20"/>
                <w:szCs w:val="20"/>
              </w:rPr>
            </w:pPr>
          </w:p>
        </w:tc>
        <w:tc>
          <w:tcPr>
            <w:tcW w:w="1165" w:type="dxa"/>
            <w:tcBorders>
              <w:top w:val="nil"/>
              <w:left w:val="nil"/>
              <w:bottom w:val="nil"/>
              <w:right w:val="nil"/>
            </w:tcBorders>
            <w:shd w:val="clear" w:color="auto" w:fill="auto"/>
            <w:noWrap/>
            <w:vAlign w:val="bottom"/>
            <w:hideMark/>
          </w:tcPr>
          <w:p w14:paraId="7AE642C4" w14:textId="77777777" w:rsidR="00E54B13" w:rsidRPr="00E54B13" w:rsidRDefault="00E54B13" w:rsidP="00E54B13">
            <w:pPr>
              <w:spacing w:after="0" w:line="240" w:lineRule="auto"/>
              <w:rPr>
                <w:rFonts w:ascii="Times New Roman" w:eastAsia="Times New Roman" w:hAnsi="Times New Roman" w:cs="Times New Roman"/>
                <w:sz w:val="20"/>
                <w:szCs w:val="20"/>
              </w:rPr>
            </w:pPr>
          </w:p>
        </w:tc>
      </w:tr>
      <w:tr w:rsidR="00E54B13" w:rsidRPr="00E54B13" w14:paraId="78807E5C" w14:textId="77777777" w:rsidTr="00EB35E7">
        <w:trPr>
          <w:trHeight w:val="300"/>
          <w:jc w:val="center"/>
        </w:trPr>
        <w:tc>
          <w:tcPr>
            <w:tcW w:w="5040" w:type="dxa"/>
            <w:tcBorders>
              <w:top w:val="nil"/>
              <w:left w:val="nil"/>
              <w:bottom w:val="nil"/>
              <w:right w:val="nil"/>
            </w:tcBorders>
            <w:shd w:val="clear" w:color="auto" w:fill="auto"/>
            <w:noWrap/>
            <w:vAlign w:val="bottom"/>
            <w:hideMark/>
          </w:tcPr>
          <w:p w14:paraId="7C8F5A03" w14:textId="462006BD" w:rsidR="00E54B13" w:rsidRPr="00E54B13" w:rsidRDefault="00A30EB5" w:rsidP="00E54B1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E54B13" w:rsidRPr="00E54B13">
              <w:rPr>
                <w:rFonts w:ascii="Times New Roman" w:eastAsia="Times New Roman" w:hAnsi="Times New Roman" w:cs="Times New Roman"/>
                <w:color w:val="000000"/>
                <w:sz w:val="20"/>
                <w:szCs w:val="20"/>
              </w:rPr>
              <w:t>Interest expense and other</w:t>
            </w:r>
          </w:p>
        </w:tc>
        <w:tc>
          <w:tcPr>
            <w:tcW w:w="316" w:type="dxa"/>
            <w:tcBorders>
              <w:top w:val="nil"/>
              <w:left w:val="nil"/>
              <w:bottom w:val="nil"/>
              <w:right w:val="nil"/>
            </w:tcBorders>
            <w:shd w:val="clear" w:color="auto" w:fill="auto"/>
            <w:noWrap/>
            <w:vAlign w:val="bottom"/>
            <w:hideMark/>
          </w:tcPr>
          <w:p w14:paraId="227D1868" w14:textId="77777777" w:rsidR="00E54B13" w:rsidRPr="00E54B13" w:rsidRDefault="00E54B13" w:rsidP="00E54B13">
            <w:pPr>
              <w:spacing w:after="0" w:line="240" w:lineRule="auto"/>
              <w:rPr>
                <w:rFonts w:ascii="Times New Roman" w:eastAsia="Times New Roman" w:hAnsi="Times New Roman" w:cs="Times New Roman"/>
                <w:color w:val="000000"/>
                <w:sz w:val="20"/>
                <w:szCs w:val="20"/>
              </w:rPr>
            </w:pPr>
          </w:p>
        </w:tc>
        <w:tc>
          <w:tcPr>
            <w:tcW w:w="1164" w:type="dxa"/>
            <w:tcBorders>
              <w:top w:val="nil"/>
              <w:left w:val="nil"/>
              <w:bottom w:val="nil"/>
              <w:right w:val="nil"/>
            </w:tcBorders>
            <w:shd w:val="clear" w:color="auto" w:fill="auto"/>
            <w:noWrap/>
            <w:vAlign w:val="bottom"/>
            <w:hideMark/>
          </w:tcPr>
          <w:p w14:paraId="341E163D"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 xml:space="preserve">267,336 </w:t>
            </w:r>
          </w:p>
        </w:tc>
        <w:tc>
          <w:tcPr>
            <w:tcW w:w="222" w:type="dxa"/>
            <w:tcBorders>
              <w:top w:val="nil"/>
              <w:left w:val="nil"/>
              <w:bottom w:val="nil"/>
              <w:right w:val="nil"/>
            </w:tcBorders>
            <w:shd w:val="clear" w:color="auto" w:fill="auto"/>
            <w:noWrap/>
            <w:vAlign w:val="bottom"/>
            <w:hideMark/>
          </w:tcPr>
          <w:p w14:paraId="0147EE71"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3F931515" w14:textId="77777777" w:rsidR="00E54B13" w:rsidRPr="00E54B13" w:rsidRDefault="00E54B13" w:rsidP="00E54B13">
            <w:pPr>
              <w:spacing w:after="0" w:line="240" w:lineRule="auto"/>
              <w:rPr>
                <w:rFonts w:ascii="Times New Roman" w:eastAsia="Times New Roman" w:hAnsi="Times New Roman" w:cs="Times New Roman"/>
                <w:sz w:val="20"/>
                <w:szCs w:val="20"/>
              </w:rPr>
            </w:pPr>
          </w:p>
        </w:tc>
        <w:tc>
          <w:tcPr>
            <w:tcW w:w="1165" w:type="dxa"/>
            <w:tcBorders>
              <w:top w:val="nil"/>
              <w:left w:val="nil"/>
              <w:bottom w:val="nil"/>
              <w:right w:val="nil"/>
            </w:tcBorders>
            <w:shd w:val="clear" w:color="auto" w:fill="auto"/>
            <w:noWrap/>
            <w:vAlign w:val="bottom"/>
            <w:hideMark/>
          </w:tcPr>
          <w:p w14:paraId="089C8AAB"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 xml:space="preserve">6 </w:t>
            </w:r>
          </w:p>
        </w:tc>
      </w:tr>
      <w:tr w:rsidR="00E54B13" w:rsidRPr="00E54B13" w14:paraId="066C5868" w14:textId="77777777" w:rsidTr="00EB35E7">
        <w:trPr>
          <w:trHeight w:val="300"/>
          <w:jc w:val="center"/>
        </w:trPr>
        <w:tc>
          <w:tcPr>
            <w:tcW w:w="5040" w:type="dxa"/>
            <w:tcBorders>
              <w:top w:val="nil"/>
              <w:left w:val="nil"/>
              <w:bottom w:val="nil"/>
              <w:right w:val="nil"/>
            </w:tcBorders>
            <w:shd w:val="clear" w:color="auto" w:fill="auto"/>
            <w:noWrap/>
            <w:vAlign w:val="bottom"/>
            <w:hideMark/>
          </w:tcPr>
          <w:p w14:paraId="577544F1" w14:textId="41C86256" w:rsidR="00E54B13" w:rsidRPr="00E54B13" w:rsidRDefault="00A30EB5" w:rsidP="00E54B1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E54B13" w:rsidRPr="00E54B13">
              <w:rPr>
                <w:rFonts w:ascii="Times New Roman" w:eastAsia="Times New Roman" w:hAnsi="Times New Roman" w:cs="Times New Roman"/>
                <w:color w:val="000000"/>
                <w:sz w:val="20"/>
                <w:szCs w:val="20"/>
              </w:rPr>
              <w:t>Depreciation and amortization</w:t>
            </w:r>
          </w:p>
        </w:tc>
        <w:tc>
          <w:tcPr>
            <w:tcW w:w="316" w:type="dxa"/>
            <w:tcBorders>
              <w:top w:val="nil"/>
              <w:left w:val="nil"/>
              <w:bottom w:val="nil"/>
              <w:right w:val="nil"/>
            </w:tcBorders>
            <w:shd w:val="clear" w:color="auto" w:fill="auto"/>
            <w:noWrap/>
            <w:vAlign w:val="bottom"/>
            <w:hideMark/>
          </w:tcPr>
          <w:p w14:paraId="48E2C949" w14:textId="77777777" w:rsidR="00E54B13" w:rsidRPr="00E54B13" w:rsidRDefault="00E54B13" w:rsidP="00E54B13">
            <w:pPr>
              <w:spacing w:after="0" w:line="240" w:lineRule="auto"/>
              <w:rPr>
                <w:rFonts w:ascii="Times New Roman" w:eastAsia="Times New Roman" w:hAnsi="Times New Roman" w:cs="Times New Roman"/>
                <w:color w:val="000000"/>
                <w:sz w:val="20"/>
                <w:szCs w:val="20"/>
              </w:rPr>
            </w:pPr>
          </w:p>
        </w:tc>
        <w:tc>
          <w:tcPr>
            <w:tcW w:w="1164" w:type="dxa"/>
            <w:tcBorders>
              <w:top w:val="nil"/>
              <w:left w:val="nil"/>
              <w:bottom w:val="nil"/>
              <w:right w:val="nil"/>
            </w:tcBorders>
            <w:shd w:val="clear" w:color="auto" w:fill="auto"/>
            <w:noWrap/>
            <w:vAlign w:val="bottom"/>
            <w:hideMark/>
          </w:tcPr>
          <w:p w14:paraId="3F50D966"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 xml:space="preserve">1,105,420 </w:t>
            </w:r>
          </w:p>
        </w:tc>
        <w:tc>
          <w:tcPr>
            <w:tcW w:w="222" w:type="dxa"/>
            <w:tcBorders>
              <w:top w:val="nil"/>
              <w:left w:val="nil"/>
              <w:bottom w:val="nil"/>
              <w:right w:val="nil"/>
            </w:tcBorders>
            <w:shd w:val="clear" w:color="auto" w:fill="auto"/>
            <w:noWrap/>
            <w:vAlign w:val="bottom"/>
            <w:hideMark/>
          </w:tcPr>
          <w:p w14:paraId="1BB0FCC4"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6FDDB574" w14:textId="77777777" w:rsidR="00E54B13" w:rsidRPr="00E54B13" w:rsidRDefault="00E54B13" w:rsidP="00E54B13">
            <w:pPr>
              <w:spacing w:after="0" w:line="240" w:lineRule="auto"/>
              <w:rPr>
                <w:rFonts w:ascii="Times New Roman" w:eastAsia="Times New Roman" w:hAnsi="Times New Roman" w:cs="Times New Roman"/>
                <w:sz w:val="20"/>
                <w:szCs w:val="20"/>
              </w:rPr>
            </w:pPr>
          </w:p>
        </w:tc>
        <w:tc>
          <w:tcPr>
            <w:tcW w:w="1165" w:type="dxa"/>
            <w:tcBorders>
              <w:top w:val="nil"/>
              <w:left w:val="nil"/>
              <w:bottom w:val="nil"/>
              <w:right w:val="nil"/>
            </w:tcBorders>
            <w:shd w:val="clear" w:color="auto" w:fill="auto"/>
            <w:noWrap/>
            <w:vAlign w:val="bottom"/>
            <w:hideMark/>
          </w:tcPr>
          <w:p w14:paraId="27872392"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 xml:space="preserve">778,875 </w:t>
            </w:r>
          </w:p>
        </w:tc>
      </w:tr>
      <w:tr w:rsidR="00E54B13" w:rsidRPr="00E54B13" w14:paraId="20AE09C0" w14:textId="77777777" w:rsidTr="00EB35E7">
        <w:trPr>
          <w:trHeight w:val="300"/>
          <w:jc w:val="center"/>
        </w:trPr>
        <w:tc>
          <w:tcPr>
            <w:tcW w:w="5040" w:type="dxa"/>
            <w:tcBorders>
              <w:top w:val="nil"/>
              <w:left w:val="nil"/>
              <w:bottom w:val="nil"/>
              <w:right w:val="nil"/>
            </w:tcBorders>
            <w:shd w:val="clear" w:color="auto" w:fill="auto"/>
            <w:noWrap/>
            <w:vAlign w:val="bottom"/>
            <w:hideMark/>
          </w:tcPr>
          <w:p w14:paraId="05884263" w14:textId="7C8AD6C0" w:rsidR="00E54B13" w:rsidRPr="00E54B13" w:rsidRDefault="00A30EB5" w:rsidP="00E54B1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E54B13" w:rsidRPr="00E54B13">
              <w:rPr>
                <w:rFonts w:ascii="Times New Roman" w:eastAsia="Times New Roman" w:hAnsi="Times New Roman" w:cs="Times New Roman"/>
                <w:color w:val="000000"/>
                <w:sz w:val="20"/>
                <w:szCs w:val="20"/>
              </w:rPr>
              <w:t>Noncash share-based compensation</w:t>
            </w:r>
          </w:p>
        </w:tc>
        <w:tc>
          <w:tcPr>
            <w:tcW w:w="316" w:type="dxa"/>
            <w:tcBorders>
              <w:top w:val="nil"/>
              <w:left w:val="nil"/>
              <w:bottom w:val="nil"/>
              <w:right w:val="nil"/>
            </w:tcBorders>
            <w:shd w:val="clear" w:color="auto" w:fill="auto"/>
            <w:noWrap/>
            <w:vAlign w:val="bottom"/>
            <w:hideMark/>
          </w:tcPr>
          <w:p w14:paraId="576770B5" w14:textId="77777777" w:rsidR="00E54B13" w:rsidRPr="00E54B13" w:rsidRDefault="00E54B13" w:rsidP="00E54B13">
            <w:pPr>
              <w:spacing w:after="0" w:line="240" w:lineRule="auto"/>
              <w:rPr>
                <w:rFonts w:ascii="Times New Roman" w:eastAsia="Times New Roman" w:hAnsi="Times New Roman" w:cs="Times New Roman"/>
                <w:color w:val="000000"/>
                <w:sz w:val="20"/>
                <w:szCs w:val="20"/>
              </w:rPr>
            </w:pPr>
          </w:p>
        </w:tc>
        <w:tc>
          <w:tcPr>
            <w:tcW w:w="1164" w:type="dxa"/>
            <w:tcBorders>
              <w:top w:val="nil"/>
              <w:left w:val="nil"/>
              <w:bottom w:val="nil"/>
              <w:right w:val="nil"/>
            </w:tcBorders>
            <w:shd w:val="clear" w:color="auto" w:fill="auto"/>
            <w:noWrap/>
            <w:vAlign w:val="bottom"/>
            <w:hideMark/>
          </w:tcPr>
          <w:p w14:paraId="365BB80E"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 xml:space="preserve">803,386 </w:t>
            </w:r>
          </w:p>
        </w:tc>
        <w:tc>
          <w:tcPr>
            <w:tcW w:w="222" w:type="dxa"/>
            <w:tcBorders>
              <w:top w:val="nil"/>
              <w:left w:val="nil"/>
              <w:bottom w:val="nil"/>
              <w:right w:val="nil"/>
            </w:tcBorders>
            <w:shd w:val="clear" w:color="auto" w:fill="auto"/>
            <w:noWrap/>
            <w:vAlign w:val="bottom"/>
            <w:hideMark/>
          </w:tcPr>
          <w:p w14:paraId="77B0C4ED"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537FC21D" w14:textId="77777777" w:rsidR="00E54B13" w:rsidRPr="00E54B13" w:rsidRDefault="00E54B13" w:rsidP="00E54B13">
            <w:pPr>
              <w:spacing w:after="0" w:line="240" w:lineRule="auto"/>
              <w:rPr>
                <w:rFonts w:ascii="Times New Roman" w:eastAsia="Times New Roman" w:hAnsi="Times New Roman" w:cs="Times New Roman"/>
                <w:sz w:val="20"/>
                <w:szCs w:val="20"/>
              </w:rPr>
            </w:pPr>
          </w:p>
        </w:tc>
        <w:tc>
          <w:tcPr>
            <w:tcW w:w="1165" w:type="dxa"/>
            <w:tcBorders>
              <w:top w:val="nil"/>
              <w:left w:val="nil"/>
              <w:bottom w:val="nil"/>
              <w:right w:val="nil"/>
            </w:tcBorders>
            <w:shd w:val="clear" w:color="auto" w:fill="auto"/>
            <w:noWrap/>
            <w:vAlign w:val="bottom"/>
            <w:hideMark/>
          </w:tcPr>
          <w:p w14:paraId="6746C2DA"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 xml:space="preserve">597,305 </w:t>
            </w:r>
          </w:p>
        </w:tc>
      </w:tr>
      <w:tr w:rsidR="00E54B13" w:rsidRPr="00E54B13" w14:paraId="5B9C74A8" w14:textId="77777777" w:rsidTr="00EB35E7">
        <w:trPr>
          <w:trHeight w:val="300"/>
          <w:jc w:val="center"/>
        </w:trPr>
        <w:tc>
          <w:tcPr>
            <w:tcW w:w="5040" w:type="dxa"/>
            <w:tcBorders>
              <w:top w:val="nil"/>
              <w:left w:val="nil"/>
              <w:bottom w:val="nil"/>
              <w:right w:val="nil"/>
            </w:tcBorders>
            <w:shd w:val="clear" w:color="auto" w:fill="auto"/>
            <w:noWrap/>
            <w:vAlign w:val="bottom"/>
            <w:hideMark/>
          </w:tcPr>
          <w:p w14:paraId="4FB8DB72" w14:textId="203A125A" w:rsidR="00E54B13" w:rsidRPr="00E54B13" w:rsidRDefault="00A30EB5" w:rsidP="00E54B1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E54B13" w:rsidRPr="00E54B13">
              <w:rPr>
                <w:rFonts w:ascii="Times New Roman" w:eastAsia="Times New Roman" w:hAnsi="Times New Roman" w:cs="Times New Roman"/>
                <w:color w:val="000000"/>
                <w:sz w:val="20"/>
                <w:szCs w:val="20"/>
              </w:rPr>
              <w:t>Change in fair value of earnout liabilities</w:t>
            </w:r>
          </w:p>
        </w:tc>
        <w:tc>
          <w:tcPr>
            <w:tcW w:w="316" w:type="dxa"/>
            <w:tcBorders>
              <w:top w:val="nil"/>
              <w:left w:val="nil"/>
              <w:bottom w:val="nil"/>
              <w:right w:val="nil"/>
            </w:tcBorders>
            <w:shd w:val="clear" w:color="auto" w:fill="auto"/>
            <w:noWrap/>
            <w:vAlign w:val="bottom"/>
            <w:hideMark/>
          </w:tcPr>
          <w:p w14:paraId="01C7964F" w14:textId="77777777" w:rsidR="00E54B13" w:rsidRPr="00E54B13" w:rsidRDefault="00E54B13" w:rsidP="00E54B13">
            <w:pPr>
              <w:spacing w:after="0" w:line="240" w:lineRule="auto"/>
              <w:rPr>
                <w:rFonts w:ascii="Times New Roman" w:eastAsia="Times New Roman" w:hAnsi="Times New Roman" w:cs="Times New Roman"/>
                <w:color w:val="000000"/>
                <w:sz w:val="20"/>
                <w:szCs w:val="20"/>
              </w:rPr>
            </w:pPr>
          </w:p>
        </w:tc>
        <w:tc>
          <w:tcPr>
            <w:tcW w:w="1164" w:type="dxa"/>
            <w:tcBorders>
              <w:top w:val="nil"/>
              <w:left w:val="nil"/>
              <w:bottom w:val="nil"/>
              <w:right w:val="nil"/>
            </w:tcBorders>
            <w:shd w:val="clear" w:color="auto" w:fill="auto"/>
            <w:noWrap/>
            <w:vAlign w:val="bottom"/>
            <w:hideMark/>
          </w:tcPr>
          <w:p w14:paraId="60DE0BC5"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(65,678)</w:t>
            </w:r>
          </w:p>
        </w:tc>
        <w:tc>
          <w:tcPr>
            <w:tcW w:w="222" w:type="dxa"/>
            <w:tcBorders>
              <w:top w:val="nil"/>
              <w:left w:val="nil"/>
              <w:bottom w:val="nil"/>
              <w:right w:val="nil"/>
            </w:tcBorders>
            <w:shd w:val="clear" w:color="auto" w:fill="auto"/>
            <w:noWrap/>
            <w:vAlign w:val="bottom"/>
            <w:hideMark/>
          </w:tcPr>
          <w:p w14:paraId="417671D0"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77F922F5" w14:textId="77777777" w:rsidR="00E54B13" w:rsidRPr="00E54B13" w:rsidRDefault="00E54B13" w:rsidP="00E54B13">
            <w:pPr>
              <w:spacing w:after="0" w:line="240" w:lineRule="auto"/>
              <w:rPr>
                <w:rFonts w:ascii="Times New Roman" w:eastAsia="Times New Roman" w:hAnsi="Times New Roman" w:cs="Times New Roman"/>
                <w:sz w:val="20"/>
                <w:szCs w:val="20"/>
              </w:rPr>
            </w:pPr>
          </w:p>
        </w:tc>
        <w:tc>
          <w:tcPr>
            <w:tcW w:w="1165" w:type="dxa"/>
            <w:tcBorders>
              <w:top w:val="nil"/>
              <w:left w:val="nil"/>
              <w:bottom w:val="nil"/>
              <w:right w:val="nil"/>
            </w:tcBorders>
            <w:shd w:val="clear" w:color="auto" w:fill="auto"/>
            <w:noWrap/>
            <w:vAlign w:val="bottom"/>
            <w:hideMark/>
          </w:tcPr>
          <w:p w14:paraId="2BBF0E83"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(452,687)</w:t>
            </w:r>
          </w:p>
        </w:tc>
      </w:tr>
      <w:tr w:rsidR="00E54B13" w:rsidRPr="00E54B13" w14:paraId="6C25AAF5" w14:textId="77777777" w:rsidTr="00EB35E7">
        <w:trPr>
          <w:trHeight w:val="300"/>
          <w:jc w:val="center"/>
        </w:trPr>
        <w:tc>
          <w:tcPr>
            <w:tcW w:w="5040" w:type="dxa"/>
            <w:tcBorders>
              <w:top w:val="nil"/>
              <w:left w:val="nil"/>
              <w:bottom w:val="nil"/>
              <w:right w:val="nil"/>
            </w:tcBorders>
            <w:shd w:val="clear" w:color="auto" w:fill="auto"/>
            <w:noWrap/>
            <w:vAlign w:val="bottom"/>
            <w:hideMark/>
          </w:tcPr>
          <w:p w14:paraId="1C342C4C" w14:textId="74285E2B" w:rsidR="00E54B13" w:rsidRPr="00E54B13" w:rsidRDefault="00A30EB5" w:rsidP="00E54B1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E54B13" w:rsidRPr="00E54B13">
              <w:rPr>
                <w:rFonts w:ascii="Times New Roman" w:eastAsia="Times New Roman" w:hAnsi="Times New Roman" w:cs="Times New Roman"/>
                <w:color w:val="000000"/>
                <w:sz w:val="20"/>
                <w:szCs w:val="20"/>
              </w:rPr>
              <w:t>Noncontrolling interest</w:t>
            </w:r>
          </w:p>
        </w:tc>
        <w:tc>
          <w:tcPr>
            <w:tcW w:w="316" w:type="dxa"/>
            <w:tcBorders>
              <w:top w:val="nil"/>
              <w:left w:val="nil"/>
              <w:bottom w:val="nil"/>
              <w:right w:val="nil"/>
            </w:tcBorders>
            <w:shd w:val="clear" w:color="auto" w:fill="auto"/>
            <w:noWrap/>
            <w:vAlign w:val="bottom"/>
            <w:hideMark/>
          </w:tcPr>
          <w:p w14:paraId="18941C3B" w14:textId="77777777" w:rsidR="00E54B13" w:rsidRPr="00E54B13" w:rsidRDefault="00E54B13" w:rsidP="00E54B13">
            <w:pPr>
              <w:spacing w:after="0" w:line="240" w:lineRule="auto"/>
              <w:rPr>
                <w:rFonts w:ascii="Times New Roman" w:eastAsia="Times New Roman" w:hAnsi="Times New Roman" w:cs="Times New Roman"/>
                <w:color w:val="000000"/>
                <w:sz w:val="20"/>
                <w:szCs w:val="20"/>
              </w:rPr>
            </w:pPr>
          </w:p>
        </w:tc>
        <w:tc>
          <w:tcPr>
            <w:tcW w:w="1164" w:type="dxa"/>
            <w:tcBorders>
              <w:top w:val="nil"/>
              <w:left w:val="nil"/>
              <w:bottom w:val="nil"/>
              <w:right w:val="nil"/>
            </w:tcBorders>
            <w:shd w:val="clear" w:color="auto" w:fill="auto"/>
            <w:noWrap/>
            <w:vAlign w:val="bottom"/>
            <w:hideMark/>
          </w:tcPr>
          <w:p w14:paraId="050BB4E4"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(34,859)</w:t>
            </w:r>
          </w:p>
        </w:tc>
        <w:tc>
          <w:tcPr>
            <w:tcW w:w="222" w:type="dxa"/>
            <w:tcBorders>
              <w:top w:val="nil"/>
              <w:left w:val="nil"/>
              <w:bottom w:val="nil"/>
              <w:right w:val="nil"/>
            </w:tcBorders>
            <w:shd w:val="clear" w:color="auto" w:fill="auto"/>
            <w:noWrap/>
            <w:vAlign w:val="bottom"/>
            <w:hideMark/>
          </w:tcPr>
          <w:p w14:paraId="2D273DCF"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p>
        </w:tc>
        <w:tc>
          <w:tcPr>
            <w:tcW w:w="316" w:type="dxa"/>
            <w:tcBorders>
              <w:top w:val="nil"/>
              <w:left w:val="nil"/>
              <w:bottom w:val="nil"/>
              <w:right w:val="nil"/>
            </w:tcBorders>
            <w:shd w:val="clear" w:color="auto" w:fill="auto"/>
            <w:noWrap/>
            <w:vAlign w:val="bottom"/>
            <w:hideMark/>
          </w:tcPr>
          <w:p w14:paraId="557B03C4" w14:textId="77777777" w:rsidR="00E54B13" w:rsidRPr="00E54B13" w:rsidRDefault="00E54B13" w:rsidP="00E54B13">
            <w:pPr>
              <w:spacing w:after="0" w:line="240" w:lineRule="auto"/>
              <w:rPr>
                <w:rFonts w:ascii="Times New Roman" w:eastAsia="Times New Roman" w:hAnsi="Times New Roman" w:cs="Times New Roman"/>
                <w:sz w:val="20"/>
                <w:szCs w:val="20"/>
              </w:rPr>
            </w:pPr>
          </w:p>
        </w:tc>
        <w:tc>
          <w:tcPr>
            <w:tcW w:w="1165" w:type="dxa"/>
            <w:tcBorders>
              <w:top w:val="nil"/>
              <w:left w:val="nil"/>
              <w:bottom w:val="nil"/>
              <w:right w:val="nil"/>
            </w:tcBorders>
            <w:shd w:val="clear" w:color="auto" w:fill="auto"/>
            <w:noWrap/>
            <w:vAlign w:val="bottom"/>
            <w:hideMark/>
          </w:tcPr>
          <w:p w14:paraId="6B4C60AD"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(38,429)</w:t>
            </w:r>
          </w:p>
        </w:tc>
      </w:tr>
      <w:tr w:rsidR="00E54B13" w:rsidRPr="00E54B13" w14:paraId="00AC9677" w14:textId="77777777" w:rsidTr="00EB35E7">
        <w:trPr>
          <w:trHeight w:val="300"/>
          <w:jc w:val="center"/>
        </w:trPr>
        <w:tc>
          <w:tcPr>
            <w:tcW w:w="5040" w:type="dxa"/>
            <w:tcBorders>
              <w:top w:val="nil"/>
              <w:left w:val="nil"/>
              <w:bottom w:val="nil"/>
              <w:right w:val="nil"/>
            </w:tcBorders>
            <w:shd w:val="clear" w:color="auto" w:fill="auto"/>
            <w:noWrap/>
            <w:vAlign w:val="bottom"/>
            <w:hideMark/>
          </w:tcPr>
          <w:p w14:paraId="29B746A7" w14:textId="77777777" w:rsidR="00E54B13" w:rsidRPr="00E54B13" w:rsidRDefault="00E54B13" w:rsidP="00E54B13">
            <w:pPr>
              <w:spacing w:after="0" w:line="240" w:lineRule="auto"/>
              <w:rPr>
                <w:rFonts w:ascii="Times New Roman" w:eastAsia="Times New Roman" w:hAnsi="Times New Roman" w:cs="Times New Roman"/>
                <w:b/>
                <w:bCs/>
                <w:color w:val="000000"/>
                <w:sz w:val="20"/>
                <w:szCs w:val="20"/>
              </w:rPr>
            </w:pPr>
            <w:r w:rsidRPr="00E54B13">
              <w:rPr>
                <w:rFonts w:ascii="Times New Roman" w:eastAsia="Times New Roman" w:hAnsi="Times New Roman" w:cs="Times New Roman"/>
                <w:b/>
                <w:bCs/>
                <w:color w:val="000000"/>
                <w:sz w:val="20"/>
                <w:szCs w:val="20"/>
              </w:rPr>
              <w:t>Adjusted EBITDA</w:t>
            </w:r>
          </w:p>
        </w:tc>
        <w:tc>
          <w:tcPr>
            <w:tcW w:w="316" w:type="dxa"/>
            <w:tcBorders>
              <w:top w:val="single" w:sz="4" w:space="0" w:color="auto"/>
              <w:left w:val="nil"/>
              <w:bottom w:val="double" w:sz="6" w:space="0" w:color="auto"/>
              <w:right w:val="nil"/>
            </w:tcBorders>
            <w:shd w:val="clear" w:color="auto" w:fill="auto"/>
            <w:noWrap/>
            <w:vAlign w:val="bottom"/>
            <w:hideMark/>
          </w:tcPr>
          <w:p w14:paraId="771E2CC9" w14:textId="77777777" w:rsidR="00E54B13" w:rsidRPr="00E54B13" w:rsidRDefault="00E54B13" w:rsidP="00E54B13">
            <w:pPr>
              <w:spacing w:after="0" w:line="240" w:lineRule="auto"/>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w:t>
            </w:r>
          </w:p>
        </w:tc>
        <w:tc>
          <w:tcPr>
            <w:tcW w:w="1164" w:type="dxa"/>
            <w:tcBorders>
              <w:top w:val="single" w:sz="4" w:space="0" w:color="auto"/>
              <w:left w:val="nil"/>
              <w:bottom w:val="double" w:sz="6" w:space="0" w:color="auto"/>
              <w:right w:val="nil"/>
            </w:tcBorders>
            <w:shd w:val="clear" w:color="auto" w:fill="auto"/>
            <w:noWrap/>
            <w:vAlign w:val="bottom"/>
            <w:hideMark/>
          </w:tcPr>
          <w:p w14:paraId="5BA91D18"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 xml:space="preserve">311,421 </w:t>
            </w:r>
          </w:p>
        </w:tc>
        <w:tc>
          <w:tcPr>
            <w:tcW w:w="222" w:type="dxa"/>
            <w:tcBorders>
              <w:top w:val="nil"/>
              <w:left w:val="nil"/>
              <w:bottom w:val="nil"/>
              <w:right w:val="nil"/>
            </w:tcBorders>
            <w:shd w:val="clear" w:color="auto" w:fill="auto"/>
            <w:noWrap/>
            <w:vAlign w:val="bottom"/>
            <w:hideMark/>
          </w:tcPr>
          <w:p w14:paraId="01CE0826"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p>
        </w:tc>
        <w:tc>
          <w:tcPr>
            <w:tcW w:w="316" w:type="dxa"/>
            <w:tcBorders>
              <w:top w:val="single" w:sz="4" w:space="0" w:color="auto"/>
              <w:left w:val="nil"/>
              <w:bottom w:val="double" w:sz="6" w:space="0" w:color="auto"/>
              <w:right w:val="nil"/>
            </w:tcBorders>
            <w:shd w:val="clear" w:color="auto" w:fill="auto"/>
            <w:noWrap/>
            <w:vAlign w:val="bottom"/>
            <w:hideMark/>
          </w:tcPr>
          <w:p w14:paraId="581B58E5" w14:textId="77777777" w:rsidR="00E54B13" w:rsidRPr="00E54B13" w:rsidRDefault="00E54B13" w:rsidP="00E54B13">
            <w:pPr>
              <w:spacing w:after="0" w:line="240" w:lineRule="auto"/>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w:t>
            </w:r>
          </w:p>
        </w:tc>
        <w:tc>
          <w:tcPr>
            <w:tcW w:w="1165" w:type="dxa"/>
            <w:tcBorders>
              <w:top w:val="single" w:sz="4" w:space="0" w:color="auto"/>
              <w:left w:val="nil"/>
              <w:bottom w:val="double" w:sz="6" w:space="0" w:color="auto"/>
              <w:right w:val="nil"/>
            </w:tcBorders>
            <w:shd w:val="clear" w:color="auto" w:fill="auto"/>
            <w:noWrap/>
            <w:vAlign w:val="bottom"/>
            <w:hideMark/>
          </w:tcPr>
          <w:p w14:paraId="2C2E20C9" w14:textId="77777777" w:rsidR="00E54B13" w:rsidRPr="00E54B13" w:rsidRDefault="00E54B13" w:rsidP="00E54B13">
            <w:pPr>
              <w:spacing w:after="0" w:line="240" w:lineRule="auto"/>
              <w:jc w:val="right"/>
              <w:rPr>
                <w:rFonts w:ascii="Times New Roman" w:eastAsia="Times New Roman" w:hAnsi="Times New Roman" w:cs="Times New Roman"/>
                <w:color w:val="000000"/>
                <w:sz w:val="20"/>
                <w:szCs w:val="20"/>
              </w:rPr>
            </w:pPr>
            <w:r w:rsidRPr="00E54B13">
              <w:rPr>
                <w:rFonts w:ascii="Times New Roman" w:eastAsia="Times New Roman" w:hAnsi="Times New Roman" w:cs="Times New Roman"/>
                <w:color w:val="000000"/>
                <w:sz w:val="20"/>
                <w:szCs w:val="20"/>
              </w:rPr>
              <w:t>(292,830)</w:t>
            </w:r>
          </w:p>
        </w:tc>
      </w:tr>
    </w:tbl>
    <w:p w14:paraId="0B3E8355" w14:textId="76F26E79" w:rsidR="007B59CA" w:rsidRDefault="007B59CA" w:rsidP="007B59CA">
      <w:pPr>
        <w:rPr>
          <w:rFonts w:ascii="Helvetica" w:hAnsi="Helvetica" w:cs="Helvetica"/>
          <w:sz w:val="21"/>
          <w:szCs w:val="21"/>
        </w:rPr>
      </w:pPr>
    </w:p>
    <w:p w14:paraId="78411B82" w14:textId="77777777" w:rsidR="007B59CA" w:rsidRDefault="007B59CA" w:rsidP="007B59CA">
      <w:pPr>
        <w:rPr>
          <w:rFonts w:ascii="Helvetica" w:hAnsi="Helvetica" w:cs="Helvetica"/>
          <w:sz w:val="21"/>
          <w:szCs w:val="21"/>
        </w:rPr>
      </w:pPr>
    </w:p>
    <w:p w14:paraId="120A12D2" w14:textId="77777777" w:rsidR="007B59CA" w:rsidRDefault="007B59CA">
      <w:pPr>
        <w:rPr>
          <w:rFonts w:ascii="Helvetica" w:hAnsi="Helvetica" w:cs="Helvetica"/>
          <w:sz w:val="21"/>
          <w:szCs w:val="21"/>
        </w:rPr>
      </w:pPr>
    </w:p>
    <w:sectPr w:rsidR="007B59CA" w:rsidSect="009C3031">
      <w:head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CFE74" w14:textId="77777777" w:rsidR="009C3031" w:rsidRDefault="009C3031" w:rsidP="005A2820">
      <w:pPr>
        <w:spacing w:after="0" w:line="240" w:lineRule="auto"/>
      </w:pPr>
      <w:r>
        <w:separator/>
      </w:r>
    </w:p>
  </w:endnote>
  <w:endnote w:type="continuationSeparator" w:id="0">
    <w:p w14:paraId="5318D093" w14:textId="77777777" w:rsidR="009C3031" w:rsidRDefault="009C3031" w:rsidP="005A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58379" w14:textId="77777777" w:rsidR="009C3031" w:rsidRDefault="009C3031" w:rsidP="005A2820">
      <w:pPr>
        <w:spacing w:after="0" w:line="240" w:lineRule="auto"/>
      </w:pPr>
      <w:r>
        <w:separator/>
      </w:r>
    </w:p>
  </w:footnote>
  <w:footnote w:type="continuationSeparator" w:id="0">
    <w:p w14:paraId="6D52138B" w14:textId="77777777" w:rsidR="009C3031" w:rsidRDefault="009C3031" w:rsidP="005A2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D6BB" w14:textId="2EAD7C27" w:rsidR="002C44DC" w:rsidRDefault="002C44DC" w:rsidP="005365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23291"/>
    <w:multiLevelType w:val="hybridMultilevel"/>
    <w:tmpl w:val="2FDA3318"/>
    <w:lvl w:ilvl="0" w:tplc="7ECCE5B6">
      <w:start w:val="1"/>
      <w:numFmt w:val="bullet"/>
      <w:lvlText w:val="•"/>
      <w:lvlJc w:val="left"/>
      <w:pPr>
        <w:tabs>
          <w:tab w:val="num" w:pos="720"/>
        </w:tabs>
        <w:ind w:left="720" w:hanging="360"/>
      </w:pPr>
      <w:rPr>
        <w:rFonts w:ascii="Arial" w:hAnsi="Arial" w:hint="default"/>
      </w:rPr>
    </w:lvl>
    <w:lvl w:ilvl="1" w:tplc="1A76911A" w:tentative="1">
      <w:start w:val="1"/>
      <w:numFmt w:val="bullet"/>
      <w:lvlText w:val="•"/>
      <w:lvlJc w:val="left"/>
      <w:pPr>
        <w:tabs>
          <w:tab w:val="num" w:pos="1440"/>
        </w:tabs>
        <w:ind w:left="1440" w:hanging="360"/>
      </w:pPr>
      <w:rPr>
        <w:rFonts w:ascii="Arial" w:hAnsi="Arial" w:hint="default"/>
      </w:rPr>
    </w:lvl>
    <w:lvl w:ilvl="2" w:tplc="1BFAD0AE">
      <w:start w:val="1"/>
      <w:numFmt w:val="bullet"/>
      <w:lvlText w:val="•"/>
      <w:lvlJc w:val="left"/>
      <w:pPr>
        <w:tabs>
          <w:tab w:val="num" w:pos="2160"/>
        </w:tabs>
        <w:ind w:left="2160" w:hanging="360"/>
      </w:pPr>
      <w:rPr>
        <w:rFonts w:ascii="Arial" w:hAnsi="Arial" w:hint="default"/>
      </w:rPr>
    </w:lvl>
    <w:lvl w:ilvl="3" w:tplc="2070E6DE" w:tentative="1">
      <w:start w:val="1"/>
      <w:numFmt w:val="bullet"/>
      <w:lvlText w:val="•"/>
      <w:lvlJc w:val="left"/>
      <w:pPr>
        <w:tabs>
          <w:tab w:val="num" w:pos="2880"/>
        </w:tabs>
        <w:ind w:left="2880" w:hanging="360"/>
      </w:pPr>
      <w:rPr>
        <w:rFonts w:ascii="Arial" w:hAnsi="Arial" w:hint="default"/>
      </w:rPr>
    </w:lvl>
    <w:lvl w:ilvl="4" w:tplc="74881426" w:tentative="1">
      <w:start w:val="1"/>
      <w:numFmt w:val="bullet"/>
      <w:lvlText w:val="•"/>
      <w:lvlJc w:val="left"/>
      <w:pPr>
        <w:tabs>
          <w:tab w:val="num" w:pos="3600"/>
        </w:tabs>
        <w:ind w:left="3600" w:hanging="360"/>
      </w:pPr>
      <w:rPr>
        <w:rFonts w:ascii="Arial" w:hAnsi="Arial" w:hint="default"/>
      </w:rPr>
    </w:lvl>
    <w:lvl w:ilvl="5" w:tplc="4B96500C" w:tentative="1">
      <w:start w:val="1"/>
      <w:numFmt w:val="bullet"/>
      <w:lvlText w:val="•"/>
      <w:lvlJc w:val="left"/>
      <w:pPr>
        <w:tabs>
          <w:tab w:val="num" w:pos="4320"/>
        </w:tabs>
        <w:ind w:left="4320" w:hanging="360"/>
      </w:pPr>
      <w:rPr>
        <w:rFonts w:ascii="Arial" w:hAnsi="Arial" w:hint="default"/>
      </w:rPr>
    </w:lvl>
    <w:lvl w:ilvl="6" w:tplc="44DE5C10" w:tentative="1">
      <w:start w:val="1"/>
      <w:numFmt w:val="bullet"/>
      <w:lvlText w:val="•"/>
      <w:lvlJc w:val="left"/>
      <w:pPr>
        <w:tabs>
          <w:tab w:val="num" w:pos="5040"/>
        </w:tabs>
        <w:ind w:left="5040" w:hanging="360"/>
      </w:pPr>
      <w:rPr>
        <w:rFonts w:ascii="Arial" w:hAnsi="Arial" w:hint="default"/>
      </w:rPr>
    </w:lvl>
    <w:lvl w:ilvl="7" w:tplc="6F3A61C0" w:tentative="1">
      <w:start w:val="1"/>
      <w:numFmt w:val="bullet"/>
      <w:lvlText w:val="•"/>
      <w:lvlJc w:val="left"/>
      <w:pPr>
        <w:tabs>
          <w:tab w:val="num" w:pos="5760"/>
        </w:tabs>
        <w:ind w:left="5760" w:hanging="360"/>
      </w:pPr>
      <w:rPr>
        <w:rFonts w:ascii="Arial" w:hAnsi="Arial" w:hint="default"/>
      </w:rPr>
    </w:lvl>
    <w:lvl w:ilvl="8" w:tplc="751AF2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AE0FB2"/>
    <w:multiLevelType w:val="hybridMultilevel"/>
    <w:tmpl w:val="E1A62B32"/>
    <w:lvl w:ilvl="0" w:tplc="FFFFFFFF">
      <w:start w:val="1"/>
      <w:numFmt w:val="bullet"/>
      <w:lvlText w:val=""/>
      <w:lvlJc w:val="left"/>
      <w:pPr>
        <w:ind w:left="720" w:hanging="360"/>
      </w:pPr>
      <w:rPr>
        <w:rFonts w:ascii="Symbol" w:hAnsi="Symbol" w:hint="default"/>
      </w:rPr>
    </w:lvl>
    <w:lvl w:ilvl="1" w:tplc="1346AF16">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9C03D7"/>
    <w:multiLevelType w:val="hybridMultilevel"/>
    <w:tmpl w:val="DA9E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051F4"/>
    <w:multiLevelType w:val="hybridMultilevel"/>
    <w:tmpl w:val="E338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A74A7"/>
    <w:multiLevelType w:val="hybridMultilevel"/>
    <w:tmpl w:val="F1B41E0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40EE2F41"/>
    <w:multiLevelType w:val="hybridMultilevel"/>
    <w:tmpl w:val="4024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32DC0"/>
    <w:multiLevelType w:val="hybridMultilevel"/>
    <w:tmpl w:val="43C8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03F03"/>
    <w:multiLevelType w:val="hybridMultilevel"/>
    <w:tmpl w:val="09F42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5A3A00"/>
    <w:multiLevelType w:val="hybridMultilevel"/>
    <w:tmpl w:val="84AEAC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1813348"/>
    <w:multiLevelType w:val="hybridMultilevel"/>
    <w:tmpl w:val="41F4C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6754481">
    <w:abstractNumId w:val="4"/>
  </w:num>
  <w:num w:numId="2" w16cid:durableId="1560020020">
    <w:abstractNumId w:val="7"/>
  </w:num>
  <w:num w:numId="3" w16cid:durableId="2054032954">
    <w:abstractNumId w:val="3"/>
  </w:num>
  <w:num w:numId="4" w16cid:durableId="77215158">
    <w:abstractNumId w:val="9"/>
  </w:num>
  <w:num w:numId="5" w16cid:durableId="1724716221">
    <w:abstractNumId w:val="6"/>
  </w:num>
  <w:num w:numId="6" w16cid:durableId="1746608339">
    <w:abstractNumId w:val="5"/>
  </w:num>
  <w:num w:numId="7" w16cid:durableId="127090984">
    <w:abstractNumId w:val="2"/>
  </w:num>
  <w:num w:numId="8" w16cid:durableId="1406494768">
    <w:abstractNumId w:val="0"/>
  </w:num>
  <w:num w:numId="9" w16cid:durableId="1590433252">
    <w:abstractNumId w:val="1"/>
  </w:num>
  <w:num w:numId="10" w16cid:durableId="4771877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wMTQ3MjeyNDY1sTRU0lEKTi0uzszPAykwrAUAktaLiCwAAAA="/>
    <w:docVar w:name="zzmp10NoTrailerPromptID" w:val="NG-JG20DMX7.4887-5339-7181.4"/>
    <w:docVar w:name="zzmpLegacyTrailerRemoved" w:val="True"/>
  </w:docVars>
  <w:rsids>
    <w:rsidRoot w:val="004045C5"/>
    <w:rsid w:val="000108BE"/>
    <w:rsid w:val="0001110A"/>
    <w:rsid w:val="00015AC1"/>
    <w:rsid w:val="00022D22"/>
    <w:rsid w:val="00025B55"/>
    <w:rsid w:val="000366C3"/>
    <w:rsid w:val="0003691C"/>
    <w:rsid w:val="00037A99"/>
    <w:rsid w:val="00047915"/>
    <w:rsid w:val="00050B6C"/>
    <w:rsid w:val="000526D6"/>
    <w:rsid w:val="00060630"/>
    <w:rsid w:val="00060A2B"/>
    <w:rsid w:val="00066BB8"/>
    <w:rsid w:val="00066F76"/>
    <w:rsid w:val="00071C81"/>
    <w:rsid w:val="0007560E"/>
    <w:rsid w:val="00077396"/>
    <w:rsid w:val="00077F73"/>
    <w:rsid w:val="00094FA4"/>
    <w:rsid w:val="000A3523"/>
    <w:rsid w:val="000A3CED"/>
    <w:rsid w:val="000A5F7A"/>
    <w:rsid w:val="000B17E6"/>
    <w:rsid w:val="000B44F4"/>
    <w:rsid w:val="000C11B7"/>
    <w:rsid w:val="000C2283"/>
    <w:rsid w:val="000C4EB1"/>
    <w:rsid w:val="000C5158"/>
    <w:rsid w:val="000C6EEF"/>
    <w:rsid w:val="000C7EBA"/>
    <w:rsid w:val="000E1E83"/>
    <w:rsid w:val="000E384A"/>
    <w:rsid w:val="000E66BE"/>
    <w:rsid w:val="000E72BA"/>
    <w:rsid w:val="000F4415"/>
    <w:rsid w:val="000F6022"/>
    <w:rsid w:val="000F7F49"/>
    <w:rsid w:val="0010492B"/>
    <w:rsid w:val="00113174"/>
    <w:rsid w:val="001238EA"/>
    <w:rsid w:val="001307B3"/>
    <w:rsid w:val="00140E5E"/>
    <w:rsid w:val="00145B76"/>
    <w:rsid w:val="00153974"/>
    <w:rsid w:val="001738FE"/>
    <w:rsid w:val="00176ACC"/>
    <w:rsid w:val="00177E2C"/>
    <w:rsid w:val="00181360"/>
    <w:rsid w:val="001836BD"/>
    <w:rsid w:val="00183FE4"/>
    <w:rsid w:val="00192779"/>
    <w:rsid w:val="00193546"/>
    <w:rsid w:val="001A1EA8"/>
    <w:rsid w:val="001A2FC7"/>
    <w:rsid w:val="001A4E77"/>
    <w:rsid w:val="001A71E4"/>
    <w:rsid w:val="001B223D"/>
    <w:rsid w:val="001B4876"/>
    <w:rsid w:val="001B6096"/>
    <w:rsid w:val="001C247D"/>
    <w:rsid w:val="001C5618"/>
    <w:rsid w:val="001C640D"/>
    <w:rsid w:val="001D61FD"/>
    <w:rsid w:val="001E0CC2"/>
    <w:rsid w:val="001E24FB"/>
    <w:rsid w:val="001E3001"/>
    <w:rsid w:val="001F1507"/>
    <w:rsid w:val="001F6029"/>
    <w:rsid w:val="002056C8"/>
    <w:rsid w:val="00206718"/>
    <w:rsid w:val="00210D14"/>
    <w:rsid w:val="00214C99"/>
    <w:rsid w:val="00215D14"/>
    <w:rsid w:val="002238D6"/>
    <w:rsid w:val="00223FFD"/>
    <w:rsid w:val="00225736"/>
    <w:rsid w:val="002321BD"/>
    <w:rsid w:val="00234E2B"/>
    <w:rsid w:val="00236769"/>
    <w:rsid w:val="002367BA"/>
    <w:rsid w:val="00237785"/>
    <w:rsid w:val="00242364"/>
    <w:rsid w:val="00244C98"/>
    <w:rsid w:val="002464C3"/>
    <w:rsid w:val="002534CB"/>
    <w:rsid w:val="0026212F"/>
    <w:rsid w:val="00264F2B"/>
    <w:rsid w:val="00267C86"/>
    <w:rsid w:val="00281F82"/>
    <w:rsid w:val="00282941"/>
    <w:rsid w:val="0028633B"/>
    <w:rsid w:val="00287855"/>
    <w:rsid w:val="00290706"/>
    <w:rsid w:val="002A0165"/>
    <w:rsid w:val="002A0479"/>
    <w:rsid w:val="002A2242"/>
    <w:rsid w:val="002C0B02"/>
    <w:rsid w:val="002C1A13"/>
    <w:rsid w:val="002C36E5"/>
    <w:rsid w:val="002C44DC"/>
    <w:rsid w:val="002C594E"/>
    <w:rsid w:val="002C73BC"/>
    <w:rsid w:val="002D202F"/>
    <w:rsid w:val="002D6896"/>
    <w:rsid w:val="002E088C"/>
    <w:rsid w:val="002E3AED"/>
    <w:rsid w:val="002E7D83"/>
    <w:rsid w:val="002F12D1"/>
    <w:rsid w:val="0030082F"/>
    <w:rsid w:val="00302D2B"/>
    <w:rsid w:val="003038AC"/>
    <w:rsid w:val="00305F4E"/>
    <w:rsid w:val="00307AF5"/>
    <w:rsid w:val="00307C34"/>
    <w:rsid w:val="00310885"/>
    <w:rsid w:val="0032119E"/>
    <w:rsid w:val="0032139E"/>
    <w:rsid w:val="00323BAF"/>
    <w:rsid w:val="00325043"/>
    <w:rsid w:val="00326372"/>
    <w:rsid w:val="0032644F"/>
    <w:rsid w:val="00335386"/>
    <w:rsid w:val="003445FD"/>
    <w:rsid w:val="0034664D"/>
    <w:rsid w:val="003530C0"/>
    <w:rsid w:val="003563F0"/>
    <w:rsid w:val="00364574"/>
    <w:rsid w:val="00370283"/>
    <w:rsid w:val="00377F59"/>
    <w:rsid w:val="00385BF1"/>
    <w:rsid w:val="003A09A3"/>
    <w:rsid w:val="003A1005"/>
    <w:rsid w:val="003A189D"/>
    <w:rsid w:val="003A5AC1"/>
    <w:rsid w:val="003A766E"/>
    <w:rsid w:val="003B19F1"/>
    <w:rsid w:val="003B303B"/>
    <w:rsid w:val="003C1447"/>
    <w:rsid w:val="003C18BC"/>
    <w:rsid w:val="003D2217"/>
    <w:rsid w:val="003D62FF"/>
    <w:rsid w:val="003E1794"/>
    <w:rsid w:val="003E1F56"/>
    <w:rsid w:val="003E46AD"/>
    <w:rsid w:val="003E59DC"/>
    <w:rsid w:val="003E636B"/>
    <w:rsid w:val="003E73BA"/>
    <w:rsid w:val="003F2692"/>
    <w:rsid w:val="00401344"/>
    <w:rsid w:val="00401C6C"/>
    <w:rsid w:val="004045C5"/>
    <w:rsid w:val="00404DE2"/>
    <w:rsid w:val="004057E9"/>
    <w:rsid w:val="00405A79"/>
    <w:rsid w:val="00410F1E"/>
    <w:rsid w:val="00412C19"/>
    <w:rsid w:val="00417F3E"/>
    <w:rsid w:val="004219D2"/>
    <w:rsid w:val="00424F34"/>
    <w:rsid w:val="00425409"/>
    <w:rsid w:val="004256AB"/>
    <w:rsid w:val="00434521"/>
    <w:rsid w:val="00441517"/>
    <w:rsid w:val="00441DF4"/>
    <w:rsid w:val="00442B98"/>
    <w:rsid w:val="00444092"/>
    <w:rsid w:val="0044655F"/>
    <w:rsid w:val="00452EA6"/>
    <w:rsid w:val="00463599"/>
    <w:rsid w:val="0046497C"/>
    <w:rsid w:val="00465C77"/>
    <w:rsid w:val="004708F6"/>
    <w:rsid w:val="00475665"/>
    <w:rsid w:val="00476633"/>
    <w:rsid w:val="0047677E"/>
    <w:rsid w:val="00491ACE"/>
    <w:rsid w:val="00492639"/>
    <w:rsid w:val="004A3482"/>
    <w:rsid w:val="004B717D"/>
    <w:rsid w:val="004C4A07"/>
    <w:rsid w:val="004D344F"/>
    <w:rsid w:val="004E180C"/>
    <w:rsid w:val="004E45C8"/>
    <w:rsid w:val="004E4844"/>
    <w:rsid w:val="004F1307"/>
    <w:rsid w:val="004F4BF9"/>
    <w:rsid w:val="004F721E"/>
    <w:rsid w:val="0051176E"/>
    <w:rsid w:val="00516D39"/>
    <w:rsid w:val="00525E03"/>
    <w:rsid w:val="00526A54"/>
    <w:rsid w:val="00527A6C"/>
    <w:rsid w:val="00530876"/>
    <w:rsid w:val="00534A88"/>
    <w:rsid w:val="00536553"/>
    <w:rsid w:val="00536578"/>
    <w:rsid w:val="0054175F"/>
    <w:rsid w:val="00541A5B"/>
    <w:rsid w:val="00546AC1"/>
    <w:rsid w:val="005471D7"/>
    <w:rsid w:val="00547497"/>
    <w:rsid w:val="00547847"/>
    <w:rsid w:val="00551335"/>
    <w:rsid w:val="005513A1"/>
    <w:rsid w:val="00553A5A"/>
    <w:rsid w:val="00567E6A"/>
    <w:rsid w:val="005749FA"/>
    <w:rsid w:val="00576385"/>
    <w:rsid w:val="00577162"/>
    <w:rsid w:val="00580953"/>
    <w:rsid w:val="00581783"/>
    <w:rsid w:val="005831BE"/>
    <w:rsid w:val="00590548"/>
    <w:rsid w:val="005A014A"/>
    <w:rsid w:val="005A2820"/>
    <w:rsid w:val="005A3901"/>
    <w:rsid w:val="005A4DBC"/>
    <w:rsid w:val="005A5983"/>
    <w:rsid w:val="005B00EB"/>
    <w:rsid w:val="005C1317"/>
    <w:rsid w:val="005C5719"/>
    <w:rsid w:val="005D0D4D"/>
    <w:rsid w:val="005D3B43"/>
    <w:rsid w:val="005D53E7"/>
    <w:rsid w:val="005E1749"/>
    <w:rsid w:val="005E193B"/>
    <w:rsid w:val="005E6FA8"/>
    <w:rsid w:val="005E7AD5"/>
    <w:rsid w:val="005F074C"/>
    <w:rsid w:val="005F1352"/>
    <w:rsid w:val="005F3A47"/>
    <w:rsid w:val="005F4782"/>
    <w:rsid w:val="005F5C3F"/>
    <w:rsid w:val="005F73AB"/>
    <w:rsid w:val="005F78D0"/>
    <w:rsid w:val="005F7A4D"/>
    <w:rsid w:val="006069C0"/>
    <w:rsid w:val="006100B0"/>
    <w:rsid w:val="00640654"/>
    <w:rsid w:val="006411E9"/>
    <w:rsid w:val="006438A1"/>
    <w:rsid w:val="00644A13"/>
    <w:rsid w:val="00645EFA"/>
    <w:rsid w:val="00646AAC"/>
    <w:rsid w:val="00657453"/>
    <w:rsid w:val="00665911"/>
    <w:rsid w:val="00673646"/>
    <w:rsid w:val="0067697C"/>
    <w:rsid w:val="00681675"/>
    <w:rsid w:val="00686BF3"/>
    <w:rsid w:val="0069010C"/>
    <w:rsid w:val="006A0196"/>
    <w:rsid w:val="006A0C35"/>
    <w:rsid w:val="006A11B9"/>
    <w:rsid w:val="006A2D95"/>
    <w:rsid w:val="006A39A2"/>
    <w:rsid w:val="006A559E"/>
    <w:rsid w:val="006A5EB7"/>
    <w:rsid w:val="006B537A"/>
    <w:rsid w:val="006C2CA8"/>
    <w:rsid w:val="006C61A9"/>
    <w:rsid w:val="006D2289"/>
    <w:rsid w:val="006D7501"/>
    <w:rsid w:val="006E484A"/>
    <w:rsid w:val="006F0787"/>
    <w:rsid w:val="006F189F"/>
    <w:rsid w:val="00701F9F"/>
    <w:rsid w:val="007043B0"/>
    <w:rsid w:val="00705F1E"/>
    <w:rsid w:val="00706179"/>
    <w:rsid w:val="00706F6B"/>
    <w:rsid w:val="00710967"/>
    <w:rsid w:val="0071365D"/>
    <w:rsid w:val="00716329"/>
    <w:rsid w:val="00716468"/>
    <w:rsid w:val="00716BD5"/>
    <w:rsid w:val="00720AA3"/>
    <w:rsid w:val="00721325"/>
    <w:rsid w:val="00723C20"/>
    <w:rsid w:val="00727D2F"/>
    <w:rsid w:val="00730DE3"/>
    <w:rsid w:val="007320B9"/>
    <w:rsid w:val="00734C88"/>
    <w:rsid w:val="00740A4F"/>
    <w:rsid w:val="00741D11"/>
    <w:rsid w:val="00747658"/>
    <w:rsid w:val="0075629C"/>
    <w:rsid w:val="00762848"/>
    <w:rsid w:val="0076756E"/>
    <w:rsid w:val="007729B8"/>
    <w:rsid w:val="0079305C"/>
    <w:rsid w:val="007A7488"/>
    <w:rsid w:val="007B59CA"/>
    <w:rsid w:val="007C0854"/>
    <w:rsid w:val="007C2F01"/>
    <w:rsid w:val="007C68AB"/>
    <w:rsid w:val="007C73A2"/>
    <w:rsid w:val="007D44A2"/>
    <w:rsid w:val="007E085B"/>
    <w:rsid w:val="007E1127"/>
    <w:rsid w:val="007E5997"/>
    <w:rsid w:val="007F7C2F"/>
    <w:rsid w:val="0081274D"/>
    <w:rsid w:val="00812973"/>
    <w:rsid w:val="008206F1"/>
    <w:rsid w:val="0082366A"/>
    <w:rsid w:val="00833F2B"/>
    <w:rsid w:val="00843812"/>
    <w:rsid w:val="008473EB"/>
    <w:rsid w:val="0085245A"/>
    <w:rsid w:val="00863E15"/>
    <w:rsid w:val="00867061"/>
    <w:rsid w:val="00873259"/>
    <w:rsid w:val="00880DAB"/>
    <w:rsid w:val="00886166"/>
    <w:rsid w:val="00892ED7"/>
    <w:rsid w:val="00896EDF"/>
    <w:rsid w:val="0089733A"/>
    <w:rsid w:val="00897858"/>
    <w:rsid w:val="008A194B"/>
    <w:rsid w:val="008A5A14"/>
    <w:rsid w:val="008B304A"/>
    <w:rsid w:val="008B36F7"/>
    <w:rsid w:val="008B47AF"/>
    <w:rsid w:val="008C3587"/>
    <w:rsid w:val="008C395E"/>
    <w:rsid w:val="008C6B9E"/>
    <w:rsid w:val="008D7237"/>
    <w:rsid w:val="008E0B56"/>
    <w:rsid w:val="008F00B3"/>
    <w:rsid w:val="008F5D8D"/>
    <w:rsid w:val="00907143"/>
    <w:rsid w:val="009137E3"/>
    <w:rsid w:val="00921BFF"/>
    <w:rsid w:val="0092545F"/>
    <w:rsid w:val="009306EF"/>
    <w:rsid w:val="009362B3"/>
    <w:rsid w:val="0093748B"/>
    <w:rsid w:val="00942EA7"/>
    <w:rsid w:val="00943DE9"/>
    <w:rsid w:val="00947D59"/>
    <w:rsid w:val="00950E42"/>
    <w:rsid w:val="009662BE"/>
    <w:rsid w:val="00975FFE"/>
    <w:rsid w:val="0098195F"/>
    <w:rsid w:val="00981BB6"/>
    <w:rsid w:val="00985117"/>
    <w:rsid w:val="009915D0"/>
    <w:rsid w:val="00991895"/>
    <w:rsid w:val="009A3A67"/>
    <w:rsid w:val="009A5F76"/>
    <w:rsid w:val="009B2E05"/>
    <w:rsid w:val="009B6434"/>
    <w:rsid w:val="009B66D7"/>
    <w:rsid w:val="009C1077"/>
    <w:rsid w:val="009C3031"/>
    <w:rsid w:val="009C3619"/>
    <w:rsid w:val="009C3FBE"/>
    <w:rsid w:val="009C4896"/>
    <w:rsid w:val="009C7139"/>
    <w:rsid w:val="009D60A9"/>
    <w:rsid w:val="009D60BA"/>
    <w:rsid w:val="009D6E0D"/>
    <w:rsid w:val="009E40FD"/>
    <w:rsid w:val="009E4A1C"/>
    <w:rsid w:val="009F2D65"/>
    <w:rsid w:val="009F4537"/>
    <w:rsid w:val="009F47F3"/>
    <w:rsid w:val="009F5D00"/>
    <w:rsid w:val="00A011E3"/>
    <w:rsid w:val="00A0478A"/>
    <w:rsid w:val="00A10C40"/>
    <w:rsid w:val="00A146C1"/>
    <w:rsid w:val="00A15BBD"/>
    <w:rsid w:val="00A21C2C"/>
    <w:rsid w:val="00A2265A"/>
    <w:rsid w:val="00A23A8B"/>
    <w:rsid w:val="00A27925"/>
    <w:rsid w:val="00A30EB5"/>
    <w:rsid w:val="00A34964"/>
    <w:rsid w:val="00A50A7D"/>
    <w:rsid w:val="00A51FC2"/>
    <w:rsid w:val="00A55806"/>
    <w:rsid w:val="00A55CBB"/>
    <w:rsid w:val="00A64705"/>
    <w:rsid w:val="00A66613"/>
    <w:rsid w:val="00A7546D"/>
    <w:rsid w:val="00A866DF"/>
    <w:rsid w:val="00A876AC"/>
    <w:rsid w:val="00A94130"/>
    <w:rsid w:val="00AA042E"/>
    <w:rsid w:val="00AA3975"/>
    <w:rsid w:val="00AA770B"/>
    <w:rsid w:val="00AB0944"/>
    <w:rsid w:val="00AB3781"/>
    <w:rsid w:val="00AC225C"/>
    <w:rsid w:val="00AC2678"/>
    <w:rsid w:val="00AC27E7"/>
    <w:rsid w:val="00AC3EFC"/>
    <w:rsid w:val="00AC70CF"/>
    <w:rsid w:val="00AC7F7A"/>
    <w:rsid w:val="00AE4CB5"/>
    <w:rsid w:val="00B015D0"/>
    <w:rsid w:val="00B03355"/>
    <w:rsid w:val="00B11755"/>
    <w:rsid w:val="00B1389F"/>
    <w:rsid w:val="00B30765"/>
    <w:rsid w:val="00B3190D"/>
    <w:rsid w:val="00B33512"/>
    <w:rsid w:val="00B405AD"/>
    <w:rsid w:val="00B433E6"/>
    <w:rsid w:val="00B52B47"/>
    <w:rsid w:val="00B53EC4"/>
    <w:rsid w:val="00B54B3F"/>
    <w:rsid w:val="00B707E4"/>
    <w:rsid w:val="00B7581C"/>
    <w:rsid w:val="00B81AB0"/>
    <w:rsid w:val="00B81F11"/>
    <w:rsid w:val="00B90C53"/>
    <w:rsid w:val="00BA431C"/>
    <w:rsid w:val="00BA549A"/>
    <w:rsid w:val="00BB0872"/>
    <w:rsid w:val="00BB143B"/>
    <w:rsid w:val="00BC4A8E"/>
    <w:rsid w:val="00BC5CBF"/>
    <w:rsid w:val="00BD019A"/>
    <w:rsid w:val="00BD1FFA"/>
    <w:rsid w:val="00BD3646"/>
    <w:rsid w:val="00BD54AA"/>
    <w:rsid w:val="00BE0EB0"/>
    <w:rsid w:val="00BE1BF2"/>
    <w:rsid w:val="00BE22E6"/>
    <w:rsid w:val="00BE3F7B"/>
    <w:rsid w:val="00BE78C6"/>
    <w:rsid w:val="00BF0929"/>
    <w:rsid w:val="00BF1F93"/>
    <w:rsid w:val="00BF4E4D"/>
    <w:rsid w:val="00C03F14"/>
    <w:rsid w:val="00C13673"/>
    <w:rsid w:val="00C15C23"/>
    <w:rsid w:val="00C22034"/>
    <w:rsid w:val="00C25F68"/>
    <w:rsid w:val="00C27B90"/>
    <w:rsid w:val="00C40B26"/>
    <w:rsid w:val="00C4121F"/>
    <w:rsid w:val="00C4772E"/>
    <w:rsid w:val="00C656F4"/>
    <w:rsid w:val="00C7031C"/>
    <w:rsid w:val="00C7106E"/>
    <w:rsid w:val="00C7427A"/>
    <w:rsid w:val="00C80147"/>
    <w:rsid w:val="00C9116C"/>
    <w:rsid w:val="00C91B53"/>
    <w:rsid w:val="00C92275"/>
    <w:rsid w:val="00C92B3E"/>
    <w:rsid w:val="00CB0721"/>
    <w:rsid w:val="00CB2AA5"/>
    <w:rsid w:val="00CC2714"/>
    <w:rsid w:val="00CD2964"/>
    <w:rsid w:val="00CE02E7"/>
    <w:rsid w:val="00CE0C75"/>
    <w:rsid w:val="00CE48C8"/>
    <w:rsid w:val="00CF0787"/>
    <w:rsid w:val="00CF0867"/>
    <w:rsid w:val="00CF0EC1"/>
    <w:rsid w:val="00CF3C5D"/>
    <w:rsid w:val="00CF3FA3"/>
    <w:rsid w:val="00CF51FA"/>
    <w:rsid w:val="00CF5664"/>
    <w:rsid w:val="00D038E0"/>
    <w:rsid w:val="00D0413B"/>
    <w:rsid w:val="00D05B65"/>
    <w:rsid w:val="00D0641C"/>
    <w:rsid w:val="00D06450"/>
    <w:rsid w:val="00D06D44"/>
    <w:rsid w:val="00D07135"/>
    <w:rsid w:val="00D20429"/>
    <w:rsid w:val="00D26BCC"/>
    <w:rsid w:val="00D27667"/>
    <w:rsid w:val="00D35708"/>
    <w:rsid w:val="00D400D8"/>
    <w:rsid w:val="00D437D3"/>
    <w:rsid w:val="00D46308"/>
    <w:rsid w:val="00D5021D"/>
    <w:rsid w:val="00D53361"/>
    <w:rsid w:val="00D5380E"/>
    <w:rsid w:val="00D617C4"/>
    <w:rsid w:val="00D61E86"/>
    <w:rsid w:val="00D66DEB"/>
    <w:rsid w:val="00D8135B"/>
    <w:rsid w:val="00D82AED"/>
    <w:rsid w:val="00D85406"/>
    <w:rsid w:val="00D86D52"/>
    <w:rsid w:val="00D87411"/>
    <w:rsid w:val="00D90479"/>
    <w:rsid w:val="00D9499D"/>
    <w:rsid w:val="00D9576D"/>
    <w:rsid w:val="00D96770"/>
    <w:rsid w:val="00DB03BC"/>
    <w:rsid w:val="00DC6A65"/>
    <w:rsid w:val="00DD251F"/>
    <w:rsid w:val="00DD2BA4"/>
    <w:rsid w:val="00DE58F6"/>
    <w:rsid w:val="00DE5F27"/>
    <w:rsid w:val="00DE73F6"/>
    <w:rsid w:val="00DF0663"/>
    <w:rsid w:val="00DF08A7"/>
    <w:rsid w:val="00DF0A7A"/>
    <w:rsid w:val="00DF21F3"/>
    <w:rsid w:val="00DF4A4C"/>
    <w:rsid w:val="00E0270E"/>
    <w:rsid w:val="00E03453"/>
    <w:rsid w:val="00E10A42"/>
    <w:rsid w:val="00E10D27"/>
    <w:rsid w:val="00E10ED3"/>
    <w:rsid w:val="00E12326"/>
    <w:rsid w:val="00E15E43"/>
    <w:rsid w:val="00E237C7"/>
    <w:rsid w:val="00E24908"/>
    <w:rsid w:val="00E40181"/>
    <w:rsid w:val="00E43915"/>
    <w:rsid w:val="00E54B13"/>
    <w:rsid w:val="00E667CF"/>
    <w:rsid w:val="00E732BD"/>
    <w:rsid w:val="00E734FC"/>
    <w:rsid w:val="00E76702"/>
    <w:rsid w:val="00E82D59"/>
    <w:rsid w:val="00E91207"/>
    <w:rsid w:val="00E95C6F"/>
    <w:rsid w:val="00EA0F5D"/>
    <w:rsid w:val="00EA289C"/>
    <w:rsid w:val="00EB35E7"/>
    <w:rsid w:val="00EB4AC9"/>
    <w:rsid w:val="00EC0222"/>
    <w:rsid w:val="00EC09E0"/>
    <w:rsid w:val="00EC3D32"/>
    <w:rsid w:val="00EC5B74"/>
    <w:rsid w:val="00EC5DEE"/>
    <w:rsid w:val="00ED025F"/>
    <w:rsid w:val="00ED0F83"/>
    <w:rsid w:val="00EF1618"/>
    <w:rsid w:val="00EF2810"/>
    <w:rsid w:val="00EF2E89"/>
    <w:rsid w:val="00EF3376"/>
    <w:rsid w:val="00EF4551"/>
    <w:rsid w:val="00F0642F"/>
    <w:rsid w:val="00F0707D"/>
    <w:rsid w:val="00F114AE"/>
    <w:rsid w:val="00F12CEF"/>
    <w:rsid w:val="00F1358B"/>
    <w:rsid w:val="00F16FDD"/>
    <w:rsid w:val="00F2064F"/>
    <w:rsid w:val="00F26400"/>
    <w:rsid w:val="00F264BE"/>
    <w:rsid w:val="00F269C0"/>
    <w:rsid w:val="00F3036C"/>
    <w:rsid w:val="00F338C0"/>
    <w:rsid w:val="00F3776D"/>
    <w:rsid w:val="00F4431E"/>
    <w:rsid w:val="00F467BE"/>
    <w:rsid w:val="00F500FF"/>
    <w:rsid w:val="00F50C9B"/>
    <w:rsid w:val="00F54FA2"/>
    <w:rsid w:val="00F63D29"/>
    <w:rsid w:val="00F64514"/>
    <w:rsid w:val="00F67062"/>
    <w:rsid w:val="00F7562B"/>
    <w:rsid w:val="00F8081B"/>
    <w:rsid w:val="00F81CA8"/>
    <w:rsid w:val="00F86366"/>
    <w:rsid w:val="00F92501"/>
    <w:rsid w:val="00F942DF"/>
    <w:rsid w:val="00F96031"/>
    <w:rsid w:val="00FA048B"/>
    <w:rsid w:val="00FA2A3B"/>
    <w:rsid w:val="00FA5D6E"/>
    <w:rsid w:val="00FB53F6"/>
    <w:rsid w:val="00FB7155"/>
    <w:rsid w:val="00FC0DE8"/>
    <w:rsid w:val="00FD7B69"/>
    <w:rsid w:val="00FE0E0C"/>
    <w:rsid w:val="00FE0FFA"/>
    <w:rsid w:val="00FE4E1A"/>
    <w:rsid w:val="00FE5A54"/>
    <w:rsid w:val="00FF35A8"/>
    <w:rsid w:val="00FF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EF355"/>
  <w15:docId w15:val="{B0FC7E5E-92D5-44C9-A737-D893CC5D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1A2F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C0B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D904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820"/>
  </w:style>
  <w:style w:type="paragraph" w:styleId="Footer">
    <w:name w:val="footer"/>
    <w:basedOn w:val="Normal"/>
    <w:link w:val="FooterChar"/>
    <w:uiPriority w:val="99"/>
    <w:unhideWhenUsed/>
    <w:rsid w:val="005A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820"/>
  </w:style>
  <w:style w:type="character" w:customStyle="1" w:styleId="Heading3Char">
    <w:name w:val="Heading 3 Char"/>
    <w:basedOn w:val="DefaultParagraphFont"/>
    <w:link w:val="Heading3"/>
    <w:uiPriority w:val="9"/>
    <w:semiHidden/>
    <w:rsid w:val="002C0B0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4772E"/>
    <w:rPr>
      <w:color w:val="0563C1" w:themeColor="hyperlink"/>
      <w:u w:val="single"/>
    </w:rPr>
  </w:style>
  <w:style w:type="character" w:styleId="FollowedHyperlink">
    <w:name w:val="FollowedHyperlink"/>
    <w:basedOn w:val="DefaultParagraphFont"/>
    <w:uiPriority w:val="99"/>
    <w:semiHidden/>
    <w:unhideWhenUsed/>
    <w:rsid w:val="00C4772E"/>
    <w:rPr>
      <w:color w:val="954F72" w:themeColor="followedHyperlink"/>
      <w:u w:val="single"/>
    </w:rPr>
  </w:style>
  <w:style w:type="paragraph" w:styleId="Revision">
    <w:name w:val="Revision"/>
    <w:hidden/>
    <w:uiPriority w:val="99"/>
    <w:semiHidden/>
    <w:rsid w:val="00BE22E6"/>
    <w:pPr>
      <w:spacing w:after="0" w:line="240" w:lineRule="auto"/>
    </w:pPr>
  </w:style>
  <w:style w:type="character" w:customStyle="1" w:styleId="Heading2Char">
    <w:name w:val="Heading 2 Char"/>
    <w:basedOn w:val="DefaultParagraphFont"/>
    <w:link w:val="Heading2"/>
    <w:uiPriority w:val="9"/>
    <w:semiHidden/>
    <w:rsid w:val="001A2FC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7B5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5030">
      <w:bodyDiv w:val="1"/>
      <w:marLeft w:val="0"/>
      <w:marRight w:val="0"/>
      <w:marTop w:val="0"/>
      <w:marBottom w:val="0"/>
      <w:divBdr>
        <w:top w:val="none" w:sz="0" w:space="0" w:color="auto"/>
        <w:left w:val="none" w:sz="0" w:space="0" w:color="auto"/>
        <w:bottom w:val="none" w:sz="0" w:space="0" w:color="auto"/>
        <w:right w:val="none" w:sz="0" w:space="0" w:color="auto"/>
      </w:divBdr>
    </w:div>
    <w:div w:id="59914221">
      <w:bodyDiv w:val="1"/>
      <w:marLeft w:val="0"/>
      <w:marRight w:val="0"/>
      <w:marTop w:val="0"/>
      <w:marBottom w:val="0"/>
      <w:divBdr>
        <w:top w:val="none" w:sz="0" w:space="0" w:color="auto"/>
        <w:left w:val="none" w:sz="0" w:space="0" w:color="auto"/>
        <w:bottom w:val="none" w:sz="0" w:space="0" w:color="auto"/>
        <w:right w:val="none" w:sz="0" w:space="0" w:color="auto"/>
      </w:divBdr>
    </w:div>
    <w:div w:id="184834421">
      <w:bodyDiv w:val="1"/>
      <w:marLeft w:val="0"/>
      <w:marRight w:val="0"/>
      <w:marTop w:val="0"/>
      <w:marBottom w:val="0"/>
      <w:divBdr>
        <w:top w:val="none" w:sz="0" w:space="0" w:color="auto"/>
        <w:left w:val="none" w:sz="0" w:space="0" w:color="auto"/>
        <w:bottom w:val="none" w:sz="0" w:space="0" w:color="auto"/>
        <w:right w:val="none" w:sz="0" w:space="0" w:color="auto"/>
      </w:divBdr>
    </w:div>
    <w:div w:id="274363732">
      <w:bodyDiv w:val="1"/>
      <w:marLeft w:val="0"/>
      <w:marRight w:val="0"/>
      <w:marTop w:val="0"/>
      <w:marBottom w:val="0"/>
      <w:divBdr>
        <w:top w:val="none" w:sz="0" w:space="0" w:color="auto"/>
        <w:left w:val="none" w:sz="0" w:space="0" w:color="auto"/>
        <w:bottom w:val="none" w:sz="0" w:space="0" w:color="auto"/>
        <w:right w:val="none" w:sz="0" w:space="0" w:color="auto"/>
      </w:divBdr>
    </w:div>
    <w:div w:id="397439095">
      <w:bodyDiv w:val="1"/>
      <w:marLeft w:val="0"/>
      <w:marRight w:val="0"/>
      <w:marTop w:val="0"/>
      <w:marBottom w:val="0"/>
      <w:divBdr>
        <w:top w:val="none" w:sz="0" w:space="0" w:color="auto"/>
        <w:left w:val="none" w:sz="0" w:space="0" w:color="auto"/>
        <w:bottom w:val="none" w:sz="0" w:space="0" w:color="auto"/>
        <w:right w:val="none" w:sz="0" w:space="0" w:color="auto"/>
      </w:divBdr>
    </w:div>
    <w:div w:id="509027418">
      <w:bodyDiv w:val="1"/>
      <w:marLeft w:val="0"/>
      <w:marRight w:val="0"/>
      <w:marTop w:val="0"/>
      <w:marBottom w:val="0"/>
      <w:divBdr>
        <w:top w:val="none" w:sz="0" w:space="0" w:color="auto"/>
        <w:left w:val="none" w:sz="0" w:space="0" w:color="auto"/>
        <w:bottom w:val="none" w:sz="0" w:space="0" w:color="auto"/>
        <w:right w:val="none" w:sz="0" w:space="0" w:color="auto"/>
      </w:divBdr>
    </w:div>
    <w:div w:id="551354876">
      <w:bodyDiv w:val="1"/>
      <w:marLeft w:val="0"/>
      <w:marRight w:val="0"/>
      <w:marTop w:val="0"/>
      <w:marBottom w:val="0"/>
      <w:divBdr>
        <w:top w:val="none" w:sz="0" w:space="0" w:color="auto"/>
        <w:left w:val="none" w:sz="0" w:space="0" w:color="auto"/>
        <w:bottom w:val="none" w:sz="0" w:space="0" w:color="auto"/>
        <w:right w:val="none" w:sz="0" w:space="0" w:color="auto"/>
      </w:divBdr>
    </w:div>
    <w:div w:id="627667774">
      <w:bodyDiv w:val="1"/>
      <w:marLeft w:val="0"/>
      <w:marRight w:val="0"/>
      <w:marTop w:val="0"/>
      <w:marBottom w:val="0"/>
      <w:divBdr>
        <w:top w:val="none" w:sz="0" w:space="0" w:color="auto"/>
        <w:left w:val="none" w:sz="0" w:space="0" w:color="auto"/>
        <w:bottom w:val="none" w:sz="0" w:space="0" w:color="auto"/>
        <w:right w:val="none" w:sz="0" w:space="0" w:color="auto"/>
      </w:divBdr>
    </w:div>
    <w:div w:id="784543250">
      <w:bodyDiv w:val="1"/>
      <w:marLeft w:val="0"/>
      <w:marRight w:val="0"/>
      <w:marTop w:val="0"/>
      <w:marBottom w:val="0"/>
      <w:divBdr>
        <w:top w:val="none" w:sz="0" w:space="0" w:color="auto"/>
        <w:left w:val="none" w:sz="0" w:space="0" w:color="auto"/>
        <w:bottom w:val="none" w:sz="0" w:space="0" w:color="auto"/>
        <w:right w:val="none" w:sz="0" w:space="0" w:color="auto"/>
      </w:divBdr>
    </w:div>
    <w:div w:id="803280280">
      <w:bodyDiv w:val="1"/>
      <w:marLeft w:val="0"/>
      <w:marRight w:val="0"/>
      <w:marTop w:val="0"/>
      <w:marBottom w:val="0"/>
      <w:divBdr>
        <w:top w:val="none" w:sz="0" w:space="0" w:color="auto"/>
        <w:left w:val="none" w:sz="0" w:space="0" w:color="auto"/>
        <w:bottom w:val="none" w:sz="0" w:space="0" w:color="auto"/>
        <w:right w:val="none" w:sz="0" w:space="0" w:color="auto"/>
      </w:divBdr>
    </w:div>
    <w:div w:id="807632135">
      <w:bodyDiv w:val="1"/>
      <w:marLeft w:val="0"/>
      <w:marRight w:val="0"/>
      <w:marTop w:val="0"/>
      <w:marBottom w:val="0"/>
      <w:divBdr>
        <w:top w:val="none" w:sz="0" w:space="0" w:color="auto"/>
        <w:left w:val="none" w:sz="0" w:space="0" w:color="auto"/>
        <w:bottom w:val="none" w:sz="0" w:space="0" w:color="auto"/>
        <w:right w:val="none" w:sz="0" w:space="0" w:color="auto"/>
      </w:divBdr>
    </w:div>
    <w:div w:id="812866732">
      <w:bodyDiv w:val="1"/>
      <w:marLeft w:val="0"/>
      <w:marRight w:val="0"/>
      <w:marTop w:val="0"/>
      <w:marBottom w:val="0"/>
      <w:divBdr>
        <w:top w:val="none" w:sz="0" w:space="0" w:color="auto"/>
        <w:left w:val="none" w:sz="0" w:space="0" w:color="auto"/>
        <w:bottom w:val="none" w:sz="0" w:space="0" w:color="auto"/>
        <w:right w:val="none" w:sz="0" w:space="0" w:color="auto"/>
      </w:divBdr>
    </w:div>
    <w:div w:id="867067707">
      <w:bodyDiv w:val="1"/>
      <w:marLeft w:val="0"/>
      <w:marRight w:val="0"/>
      <w:marTop w:val="0"/>
      <w:marBottom w:val="0"/>
      <w:divBdr>
        <w:top w:val="none" w:sz="0" w:space="0" w:color="auto"/>
        <w:left w:val="none" w:sz="0" w:space="0" w:color="auto"/>
        <w:bottom w:val="none" w:sz="0" w:space="0" w:color="auto"/>
        <w:right w:val="none" w:sz="0" w:space="0" w:color="auto"/>
      </w:divBdr>
    </w:div>
    <w:div w:id="888614350">
      <w:bodyDiv w:val="1"/>
      <w:marLeft w:val="0"/>
      <w:marRight w:val="0"/>
      <w:marTop w:val="0"/>
      <w:marBottom w:val="0"/>
      <w:divBdr>
        <w:top w:val="none" w:sz="0" w:space="0" w:color="auto"/>
        <w:left w:val="none" w:sz="0" w:space="0" w:color="auto"/>
        <w:bottom w:val="none" w:sz="0" w:space="0" w:color="auto"/>
        <w:right w:val="none" w:sz="0" w:space="0" w:color="auto"/>
      </w:divBdr>
    </w:div>
    <w:div w:id="941958622">
      <w:bodyDiv w:val="1"/>
      <w:marLeft w:val="0"/>
      <w:marRight w:val="0"/>
      <w:marTop w:val="0"/>
      <w:marBottom w:val="0"/>
      <w:divBdr>
        <w:top w:val="none" w:sz="0" w:space="0" w:color="auto"/>
        <w:left w:val="none" w:sz="0" w:space="0" w:color="auto"/>
        <w:bottom w:val="none" w:sz="0" w:space="0" w:color="auto"/>
        <w:right w:val="none" w:sz="0" w:space="0" w:color="auto"/>
      </w:divBdr>
    </w:div>
    <w:div w:id="954409638">
      <w:bodyDiv w:val="1"/>
      <w:marLeft w:val="0"/>
      <w:marRight w:val="0"/>
      <w:marTop w:val="0"/>
      <w:marBottom w:val="0"/>
      <w:divBdr>
        <w:top w:val="none" w:sz="0" w:space="0" w:color="auto"/>
        <w:left w:val="none" w:sz="0" w:space="0" w:color="auto"/>
        <w:bottom w:val="none" w:sz="0" w:space="0" w:color="auto"/>
        <w:right w:val="none" w:sz="0" w:space="0" w:color="auto"/>
      </w:divBdr>
      <w:divsChild>
        <w:div w:id="249852517">
          <w:marLeft w:val="1886"/>
          <w:marRight w:val="0"/>
          <w:marTop w:val="0"/>
          <w:marBottom w:val="0"/>
          <w:divBdr>
            <w:top w:val="none" w:sz="0" w:space="0" w:color="auto"/>
            <w:left w:val="none" w:sz="0" w:space="0" w:color="auto"/>
            <w:bottom w:val="none" w:sz="0" w:space="0" w:color="auto"/>
            <w:right w:val="none" w:sz="0" w:space="0" w:color="auto"/>
          </w:divBdr>
        </w:div>
      </w:divsChild>
    </w:div>
    <w:div w:id="983005035">
      <w:bodyDiv w:val="1"/>
      <w:marLeft w:val="0"/>
      <w:marRight w:val="0"/>
      <w:marTop w:val="0"/>
      <w:marBottom w:val="0"/>
      <w:divBdr>
        <w:top w:val="none" w:sz="0" w:space="0" w:color="auto"/>
        <w:left w:val="none" w:sz="0" w:space="0" w:color="auto"/>
        <w:bottom w:val="none" w:sz="0" w:space="0" w:color="auto"/>
        <w:right w:val="none" w:sz="0" w:space="0" w:color="auto"/>
      </w:divBdr>
    </w:div>
    <w:div w:id="990642193">
      <w:bodyDiv w:val="1"/>
      <w:marLeft w:val="0"/>
      <w:marRight w:val="0"/>
      <w:marTop w:val="0"/>
      <w:marBottom w:val="0"/>
      <w:divBdr>
        <w:top w:val="none" w:sz="0" w:space="0" w:color="auto"/>
        <w:left w:val="none" w:sz="0" w:space="0" w:color="auto"/>
        <w:bottom w:val="none" w:sz="0" w:space="0" w:color="auto"/>
        <w:right w:val="none" w:sz="0" w:space="0" w:color="auto"/>
      </w:divBdr>
    </w:div>
    <w:div w:id="1039745299">
      <w:bodyDiv w:val="1"/>
      <w:marLeft w:val="0"/>
      <w:marRight w:val="0"/>
      <w:marTop w:val="0"/>
      <w:marBottom w:val="0"/>
      <w:divBdr>
        <w:top w:val="none" w:sz="0" w:space="0" w:color="auto"/>
        <w:left w:val="none" w:sz="0" w:space="0" w:color="auto"/>
        <w:bottom w:val="none" w:sz="0" w:space="0" w:color="auto"/>
        <w:right w:val="none" w:sz="0" w:space="0" w:color="auto"/>
      </w:divBdr>
    </w:div>
    <w:div w:id="1045182960">
      <w:bodyDiv w:val="1"/>
      <w:marLeft w:val="0"/>
      <w:marRight w:val="0"/>
      <w:marTop w:val="0"/>
      <w:marBottom w:val="0"/>
      <w:divBdr>
        <w:top w:val="none" w:sz="0" w:space="0" w:color="auto"/>
        <w:left w:val="none" w:sz="0" w:space="0" w:color="auto"/>
        <w:bottom w:val="none" w:sz="0" w:space="0" w:color="auto"/>
        <w:right w:val="none" w:sz="0" w:space="0" w:color="auto"/>
      </w:divBdr>
    </w:div>
    <w:div w:id="1076435436">
      <w:bodyDiv w:val="1"/>
      <w:marLeft w:val="0"/>
      <w:marRight w:val="0"/>
      <w:marTop w:val="0"/>
      <w:marBottom w:val="0"/>
      <w:divBdr>
        <w:top w:val="none" w:sz="0" w:space="0" w:color="auto"/>
        <w:left w:val="none" w:sz="0" w:space="0" w:color="auto"/>
        <w:bottom w:val="none" w:sz="0" w:space="0" w:color="auto"/>
        <w:right w:val="none" w:sz="0" w:space="0" w:color="auto"/>
      </w:divBdr>
    </w:div>
    <w:div w:id="1103114964">
      <w:bodyDiv w:val="1"/>
      <w:marLeft w:val="0"/>
      <w:marRight w:val="0"/>
      <w:marTop w:val="0"/>
      <w:marBottom w:val="0"/>
      <w:divBdr>
        <w:top w:val="none" w:sz="0" w:space="0" w:color="auto"/>
        <w:left w:val="none" w:sz="0" w:space="0" w:color="auto"/>
        <w:bottom w:val="none" w:sz="0" w:space="0" w:color="auto"/>
        <w:right w:val="none" w:sz="0" w:space="0" w:color="auto"/>
      </w:divBdr>
      <w:divsChild>
        <w:div w:id="83887483">
          <w:marLeft w:val="1886"/>
          <w:marRight w:val="0"/>
          <w:marTop w:val="0"/>
          <w:marBottom w:val="0"/>
          <w:divBdr>
            <w:top w:val="none" w:sz="0" w:space="0" w:color="auto"/>
            <w:left w:val="none" w:sz="0" w:space="0" w:color="auto"/>
            <w:bottom w:val="none" w:sz="0" w:space="0" w:color="auto"/>
            <w:right w:val="none" w:sz="0" w:space="0" w:color="auto"/>
          </w:divBdr>
        </w:div>
      </w:divsChild>
    </w:div>
    <w:div w:id="1149252998">
      <w:bodyDiv w:val="1"/>
      <w:marLeft w:val="0"/>
      <w:marRight w:val="0"/>
      <w:marTop w:val="0"/>
      <w:marBottom w:val="0"/>
      <w:divBdr>
        <w:top w:val="none" w:sz="0" w:space="0" w:color="auto"/>
        <w:left w:val="none" w:sz="0" w:space="0" w:color="auto"/>
        <w:bottom w:val="none" w:sz="0" w:space="0" w:color="auto"/>
        <w:right w:val="none" w:sz="0" w:space="0" w:color="auto"/>
      </w:divBdr>
    </w:div>
    <w:div w:id="1182015251">
      <w:bodyDiv w:val="1"/>
      <w:marLeft w:val="0"/>
      <w:marRight w:val="0"/>
      <w:marTop w:val="0"/>
      <w:marBottom w:val="0"/>
      <w:divBdr>
        <w:top w:val="none" w:sz="0" w:space="0" w:color="auto"/>
        <w:left w:val="none" w:sz="0" w:space="0" w:color="auto"/>
        <w:bottom w:val="none" w:sz="0" w:space="0" w:color="auto"/>
        <w:right w:val="none" w:sz="0" w:space="0" w:color="auto"/>
      </w:divBdr>
    </w:div>
    <w:div w:id="1228998984">
      <w:bodyDiv w:val="1"/>
      <w:marLeft w:val="0"/>
      <w:marRight w:val="0"/>
      <w:marTop w:val="0"/>
      <w:marBottom w:val="0"/>
      <w:divBdr>
        <w:top w:val="none" w:sz="0" w:space="0" w:color="auto"/>
        <w:left w:val="none" w:sz="0" w:space="0" w:color="auto"/>
        <w:bottom w:val="none" w:sz="0" w:space="0" w:color="auto"/>
        <w:right w:val="none" w:sz="0" w:space="0" w:color="auto"/>
      </w:divBdr>
    </w:div>
    <w:div w:id="1303271594">
      <w:bodyDiv w:val="1"/>
      <w:marLeft w:val="0"/>
      <w:marRight w:val="0"/>
      <w:marTop w:val="0"/>
      <w:marBottom w:val="0"/>
      <w:divBdr>
        <w:top w:val="none" w:sz="0" w:space="0" w:color="auto"/>
        <w:left w:val="none" w:sz="0" w:space="0" w:color="auto"/>
        <w:bottom w:val="none" w:sz="0" w:space="0" w:color="auto"/>
        <w:right w:val="none" w:sz="0" w:space="0" w:color="auto"/>
      </w:divBdr>
    </w:div>
    <w:div w:id="1303999090">
      <w:bodyDiv w:val="1"/>
      <w:marLeft w:val="0"/>
      <w:marRight w:val="0"/>
      <w:marTop w:val="0"/>
      <w:marBottom w:val="0"/>
      <w:divBdr>
        <w:top w:val="none" w:sz="0" w:space="0" w:color="auto"/>
        <w:left w:val="none" w:sz="0" w:space="0" w:color="auto"/>
        <w:bottom w:val="none" w:sz="0" w:space="0" w:color="auto"/>
        <w:right w:val="none" w:sz="0" w:space="0" w:color="auto"/>
      </w:divBdr>
      <w:divsChild>
        <w:div w:id="49414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7483">
              <w:marLeft w:val="0"/>
              <w:marRight w:val="0"/>
              <w:marTop w:val="0"/>
              <w:marBottom w:val="0"/>
              <w:divBdr>
                <w:top w:val="none" w:sz="0" w:space="0" w:color="auto"/>
                <w:left w:val="none" w:sz="0" w:space="0" w:color="auto"/>
                <w:bottom w:val="none" w:sz="0" w:space="0" w:color="auto"/>
                <w:right w:val="none" w:sz="0" w:space="0" w:color="auto"/>
              </w:divBdr>
              <w:divsChild>
                <w:div w:id="11992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93343">
      <w:bodyDiv w:val="1"/>
      <w:marLeft w:val="0"/>
      <w:marRight w:val="0"/>
      <w:marTop w:val="0"/>
      <w:marBottom w:val="0"/>
      <w:divBdr>
        <w:top w:val="none" w:sz="0" w:space="0" w:color="auto"/>
        <w:left w:val="none" w:sz="0" w:space="0" w:color="auto"/>
        <w:bottom w:val="none" w:sz="0" w:space="0" w:color="auto"/>
        <w:right w:val="none" w:sz="0" w:space="0" w:color="auto"/>
      </w:divBdr>
    </w:div>
    <w:div w:id="1434856835">
      <w:bodyDiv w:val="1"/>
      <w:marLeft w:val="0"/>
      <w:marRight w:val="0"/>
      <w:marTop w:val="0"/>
      <w:marBottom w:val="0"/>
      <w:divBdr>
        <w:top w:val="none" w:sz="0" w:space="0" w:color="auto"/>
        <w:left w:val="none" w:sz="0" w:space="0" w:color="auto"/>
        <w:bottom w:val="none" w:sz="0" w:space="0" w:color="auto"/>
        <w:right w:val="none" w:sz="0" w:space="0" w:color="auto"/>
      </w:divBdr>
      <w:divsChild>
        <w:div w:id="295718262">
          <w:marLeft w:val="1886"/>
          <w:marRight w:val="0"/>
          <w:marTop w:val="0"/>
          <w:marBottom w:val="0"/>
          <w:divBdr>
            <w:top w:val="none" w:sz="0" w:space="0" w:color="auto"/>
            <w:left w:val="none" w:sz="0" w:space="0" w:color="auto"/>
            <w:bottom w:val="none" w:sz="0" w:space="0" w:color="auto"/>
            <w:right w:val="none" w:sz="0" w:space="0" w:color="auto"/>
          </w:divBdr>
        </w:div>
      </w:divsChild>
    </w:div>
    <w:div w:id="1481922475">
      <w:bodyDiv w:val="1"/>
      <w:marLeft w:val="0"/>
      <w:marRight w:val="0"/>
      <w:marTop w:val="0"/>
      <w:marBottom w:val="0"/>
      <w:divBdr>
        <w:top w:val="none" w:sz="0" w:space="0" w:color="auto"/>
        <w:left w:val="none" w:sz="0" w:space="0" w:color="auto"/>
        <w:bottom w:val="none" w:sz="0" w:space="0" w:color="auto"/>
        <w:right w:val="none" w:sz="0" w:space="0" w:color="auto"/>
      </w:divBdr>
    </w:div>
    <w:div w:id="1514413854">
      <w:bodyDiv w:val="1"/>
      <w:marLeft w:val="0"/>
      <w:marRight w:val="0"/>
      <w:marTop w:val="0"/>
      <w:marBottom w:val="0"/>
      <w:divBdr>
        <w:top w:val="none" w:sz="0" w:space="0" w:color="auto"/>
        <w:left w:val="none" w:sz="0" w:space="0" w:color="auto"/>
        <w:bottom w:val="none" w:sz="0" w:space="0" w:color="auto"/>
        <w:right w:val="none" w:sz="0" w:space="0" w:color="auto"/>
      </w:divBdr>
    </w:div>
    <w:div w:id="1627809122">
      <w:bodyDiv w:val="1"/>
      <w:marLeft w:val="0"/>
      <w:marRight w:val="0"/>
      <w:marTop w:val="0"/>
      <w:marBottom w:val="0"/>
      <w:divBdr>
        <w:top w:val="none" w:sz="0" w:space="0" w:color="auto"/>
        <w:left w:val="none" w:sz="0" w:space="0" w:color="auto"/>
        <w:bottom w:val="none" w:sz="0" w:space="0" w:color="auto"/>
        <w:right w:val="none" w:sz="0" w:space="0" w:color="auto"/>
      </w:divBdr>
    </w:div>
    <w:div w:id="1722442103">
      <w:bodyDiv w:val="1"/>
      <w:marLeft w:val="0"/>
      <w:marRight w:val="0"/>
      <w:marTop w:val="0"/>
      <w:marBottom w:val="0"/>
      <w:divBdr>
        <w:top w:val="none" w:sz="0" w:space="0" w:color="auto"/>
        <w:left w:val="none" w:sz="0" w:space="0" w:color="auto"/>
        <w:bottom w:val="none" w:sz="0" w:space="0" w:color="auto"/>
        <w:right w:val="none" w:sz="0" w:space="0" w:color="auto"/>
      </w:divBdr>
    </w:div>
    <w:div w:id="1725523178">
      <w:bodyDiv w:val="1"/>
      <w:marLeft w:val="0"/>
      <w:marRight w:val="0"/>
      <w:marTop w:val="0"/>
      <w:marBottom w:val="0"/>
      <w:divBdr>
        <w:top w:val="none" w:sz="0" w:space="0" w:color="auto"/>
        <w:left w:val="none" w:sz="0" w:space="0" w:color="auto"/>
        <w:bottom w:val="none" w:sz="0" w:space="0" w:color="auto"/>
        <w:right w:val="none" w:sz="0" w:space="0" w:color="auto"/>
      </w:divBdr>
    </w:div>
    <w:div w:id="1811971689">
      <w:bodyDiv w:val="1"/>
      <w:marLeft w:val="0"/>
      <w:marRight w:val="0"/>
      <w:marTop w:val="0"/>
      <w:marBottom w:val="0"/>
      <w:divBdr>
        <w:top w:val="none" w:sz="0" w:space="0" w:color="auto"/>
        <w:left w:val="none" w:sz="0" w:space="0" w:color="auto"/>
        <w:bottom w:val="none" w:sz="0" w:space="0" w:color="auto"/>
        <w:right w:val="none" w:sz="0" w:space="0" w:color="auto"/>
      </w:divBdr>
    </w:div>
    <w:div w:id="1820804449">
      <w:bodyDiv w:val="1"/>
      <w:marLeft w:val="0"/>
      <w:marRight w:val="0"/>
      <w:marTop w:val="0"/>
      <w:marBottom w:val="0"/>
      <w:divBdr>
        <w:top w:val="none" w:sz="0" w:space="0" w:color="auto"/>
        <w:left w:val="none" w:sz="0" w:space="0" w:color="auto"/>
        <w:bottom w:val="none" w:sz="0" w:space="0" w:color="auto"/>
        <w:right w:val="none" w:sz="0" w:space="0" w:color="auto"/>
      </w:divBdr>
    </w:div>
    <w:div w:id="1912277647">
      <w:bodyDiv w:val="1"/>
      <w:marLeft w:val="0"/>
      <w:marRight w:val="0"/>
      <w:marTop w:val="0"/>
      <w:marBottom w:val="0"/>
      <w:divBdr>
        <w:top w:val="none" w:sz="0" w:space="0" w:color="auto"/>
        <w:left w:val="none" w:sz="0" w:space="0" w:color="auto"/>
        <w:bottom w:val="none" w:sz="0" w:space="0" w:color="auto"/>
        <w:right w:val="none" w:sz="0" w:space="0" w:color="auto"/>
      </w:divBdr>
    </w:div>
    <w:div w:id="1987859607">
      <w:bodyDiv w:val="1"/>
      <w:marLeft w:val="0"/>
      <w:marRight w:val="0"/>
      <w:marTop w:val="0"/>
      <w:marBottom w:val="0"/>
      <w:divBdr>
        <w:top w:val="none" w:sz="0" w:space="0" w:color="auto"/>
        <w:left w:val="none" w:sz="0" w:space="0" w:color="auto"/>
        <w:bottom w:val="none" w:sz="0" w:space="0" w:color="auto"/>
        <w:right w:val="none" w:sz="0" w:space="0" w:color="auto"/>
      </w:divBdr>
    </w:div>
    <w:div w:id="2063938767">
      <w:bodyDiv w:val="1"/>
      <w:marLeft w:val="0"/>
      <w:marRight w:val="0"/>
      <w:marTop w:val="0"/>
      <w:marBottom w:val="0"/>
      <w:divBdr>
        <w:top w:val="none" w:sz="0" w:space="0" w:color="auto"/>
        <w:left w:val="none" w:sz="0" w:space="0" w:color="auto"/>
        <w:bottom w:val="none" w:sz="0" w:space="0" w:color="auto"/>
        <w:right w:val="none" w:sz="0" w:space="0" w:color="auto"/>
      </w:divBdr>
    </w:div>
    <w:div w:id="2068413235">
      <w:bodyDiv w:val="1"/>
      <w:marLeft w:val="0"/>
      <w:marRight w:val="0"/>
      <w:marTop w:val="0"/>
      <w:marBottom w:val="0"/>
      <w:divBdr>
        <w:top w:val="none" w:sz="0" w:space="0" w:color="auto"/>
        <w:left w:val="none" w:sz="0" w:space="0" w:color="auto"/>
        <w:bottom w:val="none" w:sz="0" w:space="0" w:color="auto"/>
        <w:right w:val="none" w:sz="0" w:space="0" w:color="auto"/>
      </w:divBdr>
    </w:div>
    <w:div w:id="2102791694">
      <w:bodyDiv w:val="1"/>
      <w:marLeft w:val="0"/>
      <w:marRight w:val="0"/>
      <w:marTop w:val="0"/>
      <w:marBottom w:val="0"/>
      <w:divBdr>
        <w:top w:val="none" w:sz="0" w:space="0" w:color="auto"/>
        <w:left w:val="none" w:sz="0" w:space="0" w:color="auto"/>
        <w:bottom w:val="none" w:sz="0" w:space="0" w:color="auto"/>
        <w:right w:val="none" w:sz="0" w:space="0" w:color="auto"/>
      </w:divBdr>
    </w:div>
    <w:div w:id="2103410423">
      <w:bodyDiv w:val="1"/>
      <w:marLeft w:val="0"/>
      <w:marRight w:val="0"/>
      <w:marTop w:val="0"/>
      <w:marBottom w:val="0"/>
      <w:divBdr>
        <w:top w:val="none" w:sz="0" w:space="0" w:color="auto"/>
        <w:left w:val="none" w:sz="0" w:space="0" w:color="auto"/>
        <w:bottom w:val="none" w:sz="0" w:space="0" w:color="auto"/>
        <w:right w:val="none" w:sz="0" w:space="0" w:color="auto"/>
      </w:divBdr>
    </w:div>
    <w:div w:id="2110075693">
      <w:bodyDiv w:val="1"/>
      <w:marLeft w:val="0"/>
      <w:marRight w:val="0"/>
      <w:marTop w:val="0"/>
      <w:marBottom w:val="0"/>
      <w:divBdr>
        <w:top w:val="none" w:sz="0" w:space="0" w:color="auto"/>
        <w:left w:val="none" w:sz="0" w:space="0" w:color="auto"/>
        <w:bottom w:val="none" w:sz="0" w:space="0" w:color="auto"/>
        <w:right w:val="none" w:sz="0" w:space="0" w:color="auto"/>
      </w:divBdr>
    </w:div>
    <w:div w:id="212869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Nichols@sanaramedtech.com" TargetMode="External"/><Relationship Id="rId5" Type="http://schemas.openxmlformats.org/officeDocument/2006/relationships/webSettings" Target="webSettings.xml"/><Relationship Id="rId10" Type="http://schemas.openxmlformats.org/officeDocument/2006/relationships/hyperlink" Target="http://www.SanaraMedTech.com" TargetMode="External"/><Relationship Id="rId4" Type="http://schemas.openxmlformats.org/officeDocument/2006/relationships/settings" Target="settings.xml"/><Relationship Id="rId9" Type="http://schemas.openxmlformats.org/officeDocument/2006/relationships/hyperlink" Target="https://www.webcaster4.com/Webcast/Page/2758/505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93139-E953-4439-95B4-2702F5B0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Callon Nichols</dc:creator>
  <cp:keywords/>
  <dc:description/>
  <cp:lastModifiedBy>Callon Nichols</cp:lastModifiedBy>
  <cp:revision>2</cp:revision>
  <cp:lastPrinted>2024-05-12T23:50:00Z</cp:lastPrinted>
  <dcterms:created xsi:type="dcterms:W3CDTF">2024-05-13T13:29:00Z</dcterms:created>
  <dcterms:modified xsi:type="dcterms:W3CDTF">2024-05-13T13:29:00Z</dcterms:modified>
</cp:coreProperties>
</file>