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5.htm"/>
      <w:bookmarkStart w:id="1" w:name="ksform42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to be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001-39678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communication was made by Sanara MedTech Inc. in connection with its proposed acquisition by MiMedx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Distributor Email</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Distributor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 reaching out to share exciting news. Earlier this afternoon, we announced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that Sanara MedTech has agreed to combine with MIMEDX, a global provider of healing solutions for surgeries, wound care and burns.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brings together two highly focused and complementary organizations with strong momentum in surgical end markets. Together, Sanara and MIMEDX will create a leading regenerative medicine company across numerous surgical subspecialties. By joining MIMEDX and benefiting from its broad portfolio, robust commercial capabilities and a commitment to innovation, we believe we will develop and commercialize transformative technologies that improve clinical outcomes even faster than we could on our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MIMEDX, we have found a great partner – one that respects the strong business we have built at Sanara and the regenerative products we bring to its portfolio. Sanara and MIMEDX share many of the same values, including a commitment to innovation, patient outcomes and excellent clinical support, and we are confident this partnership will better position us to deliver the products and support you have come to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today’s announcement is an important milestone, it is only the first step. The transaction is expected to close by the end of the year, subject to customary closing conditions. Until then, Sanara and MIMEDX will continue to operate as independent, separate companies, and it remains business as usual at Sanara. Your existing agreements remain in effect, and there are no changes to how we work with you or to your day-to-day contact at Sanara.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work closely with MIMEDX to support a seamless transition for our stakeholders and will continue to keep you informed as we have updates to share. In the meantime, if you have any specific questions about this announcement, please do not hesitate to reach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partnership has been an important contributor to Sanara’s success, and we look forward to continuing to work with you as we begin this next chapter with MIMEDX.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CUSTOMARY SIGN-OFF],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NAME]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business combination transaction between MiMedx Group, Inc. (“MiMedx”) and Sanara Medtech Inc. (“Sanara”). This communication contains certain forward-looking statements within the meaning of the Private Securities Litigation Reform Act of 1995, Section 27A of the Securities Act of 1933, as amended, and Section 21E of the Securities Exchange Act of 1934, as amended, which include all statements that do not relate solely to historical or current facts, such as statements regarding the timing of the proposed transaction and the anticipated benefits of the proposed transaction. These forward-looking statements are and will be, subject to many risks, uncertainties and factors which may cause future events to be materially different from these forward-looking statements or anything implied therein. These risks and uncertainties include, but are not limited to: uncertainties as to the timing of the proposed transaction; the timing, receipt and terms and conditions of any required governmental or regulatory approvals of the proposed transaction that could reduce the anticipated benefits of or cause the parties to abandon the proposed transaction; risks related to the satisfaction of the conditions to closing the proposed transaction (including the failure to obtain necessary regulatory approvals or the approval of Sanara’s stockholders) in the anticipated timeframe or at all; the risk that any announcements relating to the proposed transaction could have adverse effects on the market price of Sanara’s or MiMedx’s stock; disruption from the proposed transaction making it more difficult to maintain business and operational relationships, including retaining and hiring key personnel; the occurrence of any event, change or other circumstances that could give rise to the termination of the merger agreement, including in certain circumstances requiring Sanara to pay a termination fee; risks related to disruption of management’s attention from Sanara’s ongoing business operations due to the proposed transaction; significant transaction costs; the risk of litigation and/or regulatory actions related to the proposed transaction; global economic conditions; adverse industry and market conditions; the ability to retain management and other personnel; risks associated with the development and process for obtaining regulatory approval for new products, the extent of product demand, market and customer acceptance, the effect of economic conditions, competition, pricing, uncertainties associated with the development and process for obtaining regulatory approval for new products, the ability to consummate and integrate acquisitions, and other risks, contingencies and uncertainties detailed in Sanara’s most recent annual report on Form 10-K and subsequent reports filed with the Securities and Exchange Commission (the “SEC”). While the list of risks and uncertainties presented here is, and the discussion of risks and uncertainties to be presented in the proxy statement that will be filed by Sanara with the SEC in connection with the proposed transaction will be, considered representative, no such list or discussion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and legal liability to third parties and similar risks, any of which could have a material adverse effect on the completion of the proposed transaction and/or Sanara’s consolidated financial condition, results of operations, credit rating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Sanara cannot assure you that the forward-looking statements in this communication will prove to be accurate, and you should not regard these statements as a representation or warranty by Sanara, its directors, officers or employees or any other person that Sanara will achieve its objectives and plans in any specified time frame, or at all. Any forward-looking statements in this communication are based upon information available to Sanara on the date of this communication. Subject to applicable law, Sanara does not undertake to publicly update or revise its forward-looking statements.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w:t>
      </w:r>
      <w:r>
        <w:rPr>
          <w:rFonts w:ascii="Times New Roman;Times;Serif" w:hAnsi="Times New Roman;Times;Serif"/>
          <w:b w:val="false"/>
          <w:i w:val="false"/>
          <w:caps w:val="false"/>
          <w:smallCaps w:val="false"/>
          <w:sz w:val="20"/>
          <w:u w:val="single"/>
        </w:rPr>
        <w:t>https://ir.sanaramedtech.com/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1575</Words>
  <Characters>9000</Characters>
  <CharactersWithSpaces>10582</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