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45"/>
        <w:gridCol w:w="8735"/>
      </w:tblGrid>
      <w:tr>
        <w:trPr/>
        <w:tc>
          <w:tcPr>
            <w:tcW w:w="245" w:type="dxa"/>
            <w:tcBorders/>
            <w:vAlign w:val="center"/>
          </w:tcPr>
          <w:p>
            <w:pPr>
              <w:pStyle w:val="TableContents"/>
              <w:bidi w:val="0"/>
              <w:spacing w:before="0" w:after="283"/>
              <w:jc w:val="both"/>
              <w:rPr>
                <w:caps w:val="false"/>
                <w:smallCaps w:val="false"/>
              </w:rPr>
            </w:pPr>
            <w:bookmarkStart w:id="3" w:name="xdx_90A_edei--DocumentQuarterlyReport_c2"/>
            <w:bookmarkEnd w:id="3"/>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 UNDER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6_edei--DocumentPeriodEndDate_c202"/>
      <w:bookmarkEnd w:id="4"/>
      <w:r>
        <w:rPr>
          <w:rFonts w:ascii="Times New Roman;Times;Serif" w:hAnsi="Times New Roman;Times;Serif"/>
          <w:b/>
          <w:i w:val="false"/>
          <w:caps w:val="false"/>
          <w:smallCaps w:val="false"/>
          <w:sz w:val="20"/>
        </w:rPr>
        <w:t xml:space="preserve">June 30, </w:t>
      </w:r>
      <w:bookmarkStart w:id="5" w:name="xdx_900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283"/>
              <w:jc w:val="both"/>
              <w:rPr>
                <w:caps w:val="false"/>
                <w:smallCaps w:val="false"/>
              </w:rPr>
            </w:pPr>
            <w:bookmarkStart w:id="6" w:name="xdx_90E_edei--DocumentTransitionReport_c"/>
            <w:bookmarkEnd w:id="6"/>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 to 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1_edei--EntityFileNumber_c20260101"/>
      <w:bookmarkEnd w:id="7"/>
      <w:r>
        <w:rPr>
          <w:rFonts w:ascii="Times New Roman;Times;Serif" w:hAnsi="Times New Roman;Times;Serif"/>
          <w:b/>
          <w:i w:val="false"/>
          <w:caps w:val="false"/>
          <w:smallCaps w:val="false"/>
          <w:sz w:val="20"/>
        </w:rPr>
        <w:t>001-39678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5_edei--EntityRegistrantName_c2026"/>
      <w:bookmarkEnd w:id="8"/>
      <w:r>
        <w:rPr>
          <w:rFonts w:ascii="Times New Roman;Times;Serif" w:hAnsi="Times New Roman;Times;Serif"/>
          <w:b/>
          <w:i w:val="false"/>
          <w:caps w:val="false"/>
          <w:smallCaps w:val="false"/>
          <w:sz w:val="36"/>
        </w:rPr>
        <w:t>SANARA MEDTECH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A_edei--EntityIncorporationStateCo"/>
            <w:bookmarkEnd w:id="9"/>
            <w:r>
              <w:rPr>
                <w:rFonts w:ascii="Times New Roman;Times;Serif" w:hAnsi="Times New Roman;Times;Serif"/>
                <w:b w:val="false"/>
                <w:i w:val="false"/>
                <w:caps w:val="false"/>
                <w:smallCaps w:val="false"/>
                <w:sz w:val="20"/>
              </w:rPr>
              <w:t>Texas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B_edei--EntityTaxIdentificationNum"/>
            <w:bookmarkEnd w:id="10"/>
            <w:r>
              <w:rPr>
                <w:rFonts w:ascii="Times New Roman;Times;Serif" w:hAnsi="Times New Roman;Times;Serif"/>
                <w:b w:val="false"/>
                <w:i w:val="false"/>
                <w:caps w:val="false"/>
                <w:smallCaps w:val="false"/>
                <w:sz w:val="20"/>
              </w:rPr>
              <w:t>59-2219994</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505" w:type="dxa"/>
        <w:jc w:val="left"/>
        <w:tblInd w:w="0" w:type="dxa"/>
        <w:tblLayout w:type="fixed"/>
        <w:tblCellMar>
          <w:top w:w="0" w:type="dxa"/>
          <w:left w:w="0" w:type="dxa"/>
          <w:bottom w:w="28" w:type="dxa"/>
          <w:right w:w="0" w:type="dxa"/>
        </w:tblCellMar>
      </w:tblPr>
      <w:tblGrid>
        <w:gridCol w:w="4505"/>
      </w:tblGrid>
      <w:tr>
        <w:trPr/>
        <w:tc>
          <w:tcPr>
            <w:tcW w:w="4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3_edei--EntityAddressAddressLine1_"/>
            <w:bookmarkEnd w:id="11"/>
            <w:r>
              <w:rPr>
                <w:rFonts w:ascii="Times New Roman;Times;Serif" w:hAnsi="Times New Roman;Times;Serif"/>
                <w:b w:val="false"/>
                <w:i w:val="false"/>
                <w:caps w:val="false"/>
                <w:smallCaps w:val="false"/>
                <w:sz w:val="20"/>
              </w:rPr>
              <w:t xml:space="preserve">1200 Summit Ave, </w:t>
            </w:r>
            <w:bookmarkStart w:id="12" w:name="xdx_90F_edei--EntityAddressAddressLine2_"/>
            <w:bookmarkEnd w:id="12"/>
            <w:r>
              <w:rPr>
                <w:rFonts w:ascii="Times New Roman;Times;Serif" w:hAnsi="Times New Roman;Times;Serif"/>
                <w:b w:val="false"/>
                <w:i w:val="false"/>
                <w:caps w:val="false"/>
                <w:smallCaps w:val="false"/>
                <w:sz w:val="20"/>
              </w:rPr>
              <w:t xml:space="preserve">Suite 414, </w:t>
            </w:r>
            <w:bookmarkStart w:id="13" w:name="xdx_904_edei--EntityAddressCityOrTown_c2"/>
            <w:bookmarkEnd w:id="13"/>
            <w:r>
              <w:rPr>
                <w:rFonts w:ascii="Times New Roman;Times;Serif" w:hAnsi="Times New Roman;Times;Serif"/>
                <w:b w:val="false"/>
                <w:i w:val="false"/>
                <w:caps w:val="false"/>
                <w:smallCaps w:val="false"/>
                <w:sz w:val="20"/>
              </w:rPr>
              <w:t xml:space="preserve">Fort Worth, </w:t>
            </w:r>
            <w:bookmarkStart w:id="14" w:name="xdx_90B_edei--EntityAddressStateOrProvin"/>
            <w:bookmarkEnd w:id="14"/>
            <w:r>
              <w:rPr>
                <w:rFonts w:ascii="Times New Roman;Times;Serif" w:hAnsi="Times New Roman;Times;Serif"/>
                <w:b w:val="false"/>
                <w:i w:val="false"/>
                <w:caps w:val="false"/>
                <w:smallCaps w:val="false"/>
                <w:sz w:val="20"/>
              </w:rPr>
              <w:t xml:space="preserve">Texas </w:t>
            </w:r>
            <w:bookmarkStart w:id="15" w:name="xdx_906_edei--EntityAddressPostalZipCode"/>
            <w:bookmarkEnd w:id="15"/>
            <w:r>
              <w:rPr>
                <w:rFonts w:ascii="Times New Roman;Times;Serif" w:hAnsi="Times New Roman;Times;Serif"/>
                <w:b w:val="false"/>
                <w:i w:val="false"/>
                <w:caps w:val="false"/>
                <w:smallCaps w:val="false"/>
                <w:sz w:val="20"/>
              </w:rPr>
              <w:t>76102</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0_edei--CityAreaCode_c20260101__20"/>
      <w:bookmarkEnd w:id="16"/>
      <w:r>
        <w:rPr>
          <w:rFonts w:ascii="Times New Roman;Times;Serif" w:hAnsi="Times New Roman;Times;Serif"/>
          <w:b w:val="false"/>
          <w:i w:val="false"/>
          <w:caps w:val="false"/>
          <w:smallCaps w:val="false"/>
          <w:sz w:val="20"/>
        </w:rPr>
        <w:t xml:space="preserve">(817) </w:t>
      </w:r>
      <w:bookmarkStart w:id="17" w:name="xdx_905_edei--LocalPhoneNumber_c20260101"/>
      <w:bookmarkEnd w:id="17"/>
      <w:r>
        <w:rPr>
          <w:rFonts w:ascii="Times New Roman;Times;Serif" w:hAnsi="Times New Roman;Times;Serif"/>
          <w:b w:val="false"/>
          <w:i w:val="false"/>
          <w:caps w:val="false"/>
          <w:smallCaps w:val="false"/>
          <w:sz w:val="20"/>
        </w:rPr>
        <w:t>529-2300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F_edei--Security12bTitle_c20260101"/>
            <w:bookmarkEnd w:id="18"/>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101__2"/>
            <w:bookmarkEnd w:id="19"/>
            <w:r>
              <w:rPr>
                <w:rFonts w:ascii="Times New Roman;Times;Serif" w:hAnsi="Times New Roman;Times;Serif"/>
                <w:b w:val="false"/>
                <w:i w:val="false"/>
                <w:caps w:val="false"/>
                <w:smallCaps w:val="false"/>
                <w:sz w:val="20"/>
              </w:rPr>
              <w:t>SMTI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E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bookmarkStart w:id="21" w:name="xdx_90C_edei--EntityCurrentReportingStat"/>
      <w:bookmarkEnd w:id="21"/>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w:t>
      </w:r>
      <w:bookmarkStart w:id="22" w:name="xdx_908_edei--EntityInteractiveDataCurre"/>
      <w:bookmarkEnd w:id="22"/>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1835"/>
        <w:gridCol w:w="1355"/>
        <w:gridCol w:w="1715"/>
        <w:gridCol w:w="2225"/>
        <w:gridCol w:w="2240"/>
      </w:tblGrid>
      <w:tr>
        <w:trPr/>
        <w:tc>
          <w:tcPr>
            <w:tcW w:w="18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1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17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B_edei--EntityFilerCategory_c20260"/>
            <w:bookmarkEnd w:id="23"/>
            <w:r>
              <w:rPr>
                <w:rFonts w:ascii="Times New Roman;Times;Serif" w:hAnsi="Times New Roman;Times;Serif"/>
                <w:b w:val="false"/>
                <w:i w:val="false"/>
                <w:caps w:val="false"/>
                <w:smallCaps w:val="false"/>
                <w:sz w:val="20"/>
              </w:rPr>
              <w:t>Non-accelerated filer</w:t>
            </w:r>
          </w:p>
        </w:tc>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2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r>
      <w:tr>
        <w:trPr/>
        <w:tc>
          <w:tcPr>
            <w:tcW w:w="1835" w:type="dxa"/>
            <w:tcBorders/>
            <w:vAlign w:val="center"/>
          </w:tcPr>
          <w:p>
            <w:pPr>
              <w:pStyle w:val="TableContents"/>
              <w:bidi w:val="0"/>
              <w:spacing w:before="0" w:after="283"/>
              <w:jc w:val="center"/>
              <w:rPr>
                <w:caps w:val="false"/>
                <w:smallCaps w:val="false"/>
              </w:rPr>
            </w:pPr>
            <w:r>
              <w:rPr>
                <w:caps w:val="false"/>
                <w:smallCaps w:val="false"/>
              </w:rPr>
              <w:t>☐</w:t>
            </w:r>
          </w:p>
        </w:tc>
        <w:tc>
          <w:tcPr>
            <w:tcW w:w="1355" w:type="dxa"/>
            <w:tcBorders/>
            <w:vAlign w:val="center"/>
          </w:tcPr>
          <w:p>
            <w:pPr>
              <w:pStyle w:val="TableContents"/>
              <w:bidi w:val="0"/>
              <w:spacing w:before="0" w:after="283"/>
              <w:jc w:val="center"/>
              <w:rPr>
                <w:caps w:val="false"/>
                <w:smallCaps w:val="false"/>
              </w:rPr>
            </w:pPr>
            <w:r>
              <w:rPr>
                <w:caps w:val="false"/>
                <w:smallCaps w:val="false"/>
              </w:rPr>
              <w:t>☐</w:t>
            </w:r>
          </w:p>
        </w:tc>
        <w:tc>
          <w:tcPr>
            <w:tcW w:w="1715" w:type="dxa"/>
            <w:tcBorders/>
            <w:vAlign w:val="center"/>
          </w:tcPr>
          <w:p>
            <w:pPr>
              <w:pStyle w:val="TableContents"/>
              <w:bidi w:val="0"/>
              <w:spacing w:before="0" w:after="283"/>
              <w:jc w:val="center"/>
              <w:rPr>
                <w:caps w:val="false"/>
                <w:smallCaps w:val="false"/>
              </w:rPr>
            </w:pPr>
            <w:r>
              <w:rPr>
                <w:caps w:val="false"/>
                <w:smallCaps w:val="false"/>
              </w:rPr>
              <w:t>☒</w:t>
            </w:r>
          </w:p>
        </w:tc>
        <w:tc>
          <w:tcPr>
            <w:tcW w:w="2225" w:type="dxa"/>
            <w:tcBorders/>
            <w:vAlign w:val="center"/>
          </w:tcPr>
          <w:p>
            <w:pPr>
              <w:pStyle w:val="TableContents"/>
              <w:bidi w:val="0"/>
              <w:spacing w:before="0" w:after="283"/>
              <w:jc w:val="center"/>
              <w:rPr>
                <w:caps w:val="false"/>
                <w:smallCaps w:val="false"/>
              </w:rPr>
            </w:pPr>
            <w:bookmarkStart w:id="24" w:name="xdx_905_edei--EntitySmallBusiness_c20260"/>
            <w:bookmarkEnd w:id="24"/>
            <w:r>
              <w:rPr>
                <w:caps w:val="false"/>
                <w:smallCaps w:val="false"/>
              </w:rPr>
              <w:t>☒</w:t>
            </w:r>
          </w:p>
        </w:tc>
        <w:tc>
          <w:tcPr>
            <w:tcW w:w="2240" w:type="dxa"/>
            <w:tcBorders/>
            <w:vAlign w:val="center"/>
          </w:tcPr>
          <w:p>
            <w:pPr>
              <w:pStyle w:val="TableContents"/>
              <w:bidi w:val="0"/>
              <w:spacing w:before="0" w:after="283"/>
              <w:jc w:val="center"/>
              <w:rPr>
                <w:caps w:val="false"/>
                <w:smallCaps w:val="false"/>
              </w:rPr>
            </w:pPr>
            <w:bookmarkStart w:id="25" w:name="xdx_903_edei--EntityEmergingGrowthCompan"/>
            <w:bookmarkEnd w:id="25"/>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registrant is a shell company (as defined in Rule 12b-2 of the Exchange Act). Yes ☐ No </w:t>
      </w:r>
      <w:bookmarkStart w:id="26" w:name="xdx_904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7, 2026, </w:t>
      </w:r>
      <w:bookmarkStart w:id="27" w:name="xdx_90A_edei--EntityCommonStockSharesOut"/>
      <w:bookmarkEnd w:id="27"/>
      <w:r>
        <w:rPr>
          <w:rFonts w:ascii="Times New Roman;Times;Serif" w:hAnsi="Times New Roman;Times;Serif"/>
          <w:b w:val="false"/>
          <w:i w:val="false"/>
          <w:caps w:val="false"/>
          <w:smallCaps w:val="false"/>
          <w:sz w:val="20"/>
        </w:rPr>
        <w:t>9,188,035 shares of the registrant’s common stock, $</w:t>
      </w:r>
      <w:bookmarkStart w:id="28" w:name="xdx_903_edei--EntityListingParValuePerSh"/>
      <w:bookmarkEnd w:id="28"/>
      <w:r>
        <w:rPr>
          <w:rFonts w:ascii="Times New Roman;Times;Serif" w:hAnsi="Times New Roman;Times;Serif"/>
          <w:b w:val="false"/>
          <w:i w:val="false"/>
          <w:caps w:val="false"/>
          <w:smallCaps w:val="false"/>
          <w:sz w:val="20"/>
        </w:rPr>
        <w:t>0.001 par value per share,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toc"/>
      <w:bookmarkEnd w:id="29"/>
      <w:r>
        <w:rPr>
          <w:rFonts w:ascii="Times New Roman;Times;Serif" w:hAnsi="Times New Roman;Times;Serif"/>
          <w:b/>
          <w:i w:val="false"/>
          <w:caps w:val="false"/>
          <w:smallCaps w:val="false"/>
          <w:sz w:val="20"/>
        </w:rPr>
        <w:t>SANARA MEDTECH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center"/>
              <w:rPr/>
            </w:pPr>
            <w:hyperlink w:anchor="sp_001">
              <w:r>
                <w:rPr>
                  <w:rStyle w:val="InternetLink"/>
                  <w:rFonts w:ascii="Times New Roman;Times;Serif" w:hAnsi="Times New Roman;Times;Serif"/>
                  <w:b/>
                  <w:i/>
                  <w:caps w:val="false"/>
                  <w:smallCaps w:val="false"/>
                  <w:sz w:val="20"/>
                </w:rPr>
                <w:t>Part I - 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02">
              <w:r>
                <w:rPr>
                  <w:rStyle w:val="InternetLink"/>
                  <w:rFonts w:ascii="Times New Roman;Times;Serif" w:hAnsi="Times New Roman;Times;Serif"/>
                  <w:b w:val="false"/>
                  <w:i w:val="false"/>
                  <w:caps w:val="false"/>
                  <w:smallCaps w:val="false"/>
                  <w:sz w:val="20"/>
                </w:rPr>
                <w:t>Item 1.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03">
              <w:r>
                <w:rPr>
                  <w:rStyle w:val="InternetLink"/>
                  <w:rFonts w:ascii="Times New Roman;Times;Serif" w:hAnsi="Times New Roman;Times;Serif"/>
                  <w:b w:val="false"/>
                  <w:i w:val="false"/>
                  <w:caps w:val="false"/>
                  <w:smallCaps w:val="false"/>
                  <w:sz w:val="20"/>
                </w:rPr>
                <w:t>Consolidated Balance Sheets as of June 30, 2026 (Unaudited) and December 31, 2025</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04">
              <w:r>
                <w:rPr>
                  <w:rStyle w:val="InternetLink"/>
                  <w:rFonts w:ascii="Times New Roman;Times;Serif" w:hAnsi="Times New Roman;Times;Serif"/>
                  <w:b w:val="false"/>
                  <w:i w:val="false"/>
                  <w:caps w:val="false"/>
                  <w:smallCaps w:val="false"/>
                  <w:sz w:val="20"/>
                </w:rPr>
                <w:t>Consolidated Statements of Operations (Unaudited) for the Three and Six Months Ended June 30, 2026 and 2025</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05">
              <w:r>
                <w:rPr>
                  <w:rStyle w:val="InternetLink"/>
                  <w:rFonts w:ascii="Times New Roman;Times;Serif" w:hAnsi="Times New Roman;Times;Serif"/>
                  <w:b w:val="false"/>
                  <w:i w:val="false"/>
                  <w:caps w:val="false"/>
                  <w:smallCaps w:val="false"/>
                  <w:sz w:val="20"/>
                </w:rPr>
                <w:t>Consolidated Statements of Changes in Shareholders’ Equity (Unaudited) for the Three and Six Months Ended June 30, 2026 and 2025</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06">
              <w:r>
                <w:rPr>
                  <w:rStyle w:val="InternetLink"/>
                  <w:rFonts w:ascii="Times New Roman;Times;Serif" w:hAnsi="Times New Roman;Times;Serif"/>
                  <w:b w:val="false"/>
                  <w:i w:val="false"/>
                  <w:caps w:val="false"/>
                  <w:smallCaps w:val="false"/>
                  <w:sz w:val="20"/>
                </w:rPr>
                <w:t>Consolidated Statements of Cash Flows (Unaudited) for the Six Months Ended June 30, 2026 and 2025</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07">
              <w:r>
                <w:rPr>
                  <w:rStyle w:val="InternetLink"/>
                  <w:rFonts w:ascii="Times New Roman;Times;Serif" w:hAnsi="Times New Roman;Times;Serif"/>
                  <w:b w:val="false"/>
                  <w:i w:val="false"/>
                  <w:caps w:val="false"/>
                  <w:smallCaps w:val="false"/>
                  <w:sz w:val="20"/>
                </w:rPr>
                <w:t>Notes to Unaudited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10">
              <w:r>
                <w:rPr>
                  <w:rStyle w:val="InternetLink"/>
                  <w:rFonts w:ascii="Times New Roman;Times;Serif" w:hAnsi="Times New Roman;Times;Serif"/>
                  <w:b w:val="false"/>
                  <w:i w:val="false"/>
                  <w:caps w:val="false"/>
                  <w:smallCaps w:val="false"/>
                  <w:sz w:val="20"/>
                </w:rPr>
                <w:t>Item 4. 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center"/>
              <w:rPr/>
            </w:pPr>
            <w:hyperlink w:anchor="sp_011">
              <w:r>
                <w:rPr>
                  <w:rStyle w:val="InternetLink"/>
                  <w:rFonts w:ascii="Times New Roman;Times;Serif" w:hAnsi="Times New Roman;Times;Serif"/>
                  <w:b/>
                  <w:i/>
                  <w:caps w:val="false"/>
                  <w:smallCaps w:val="false"/>
                  <w:sz w:val="20"/>
                </w:rPr>
                <w:t>Part II - 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12">
              <w:r>
                <w:rPr>
                  <w:rStyle w:val="InternetLink"/>
                  <w:rFonts w:ascii="Times New Roman;Times;Serif" w:hAnsi="Times New Roman;Times;Serif"/>
                  <w:b w:val="false"/>
                  <w:i w:val="false"/>
                  <w:caps w:val="false"/>
                  <w:smallCaps w:val="false"/>
                  <w:sz w:val="20"/>
                </w:rPr>
                <w:t>Item 1. Legal Proceedings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13">
              <w:r>
                <w:rPr>
                  <w:rStyle w:val="InternetLink"/>
                  <w:rFonts w:ascii="Times New Roman;Times;Serif" w:hAnsi="Times New Roman;Times;Serif"/>
                  <w:b w:val="false"/>
                  <w:i w:val="false"/>
                  <w:caps w:val="false"/>
                  <w:smallCaps w:val="false"/>
                  <w:sz w:val="20"/>
                </w:rPr>
                <w:t>Item 1A. 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15">
              <w:r>
                <w:rPr>
                  <w:rStyle w:val="InternetLink"/>
                  <w:rFonts w:ascii="Times New Roman;Times;Serif" w:hAnsi="Times New Roman;Times;Serif"/>
                  <w:b w:val="false"/>
                  <w:i w:val="false"/>
                  <w:caps w:val="false"/>
                  <w:smallCaps w:val="false"/>
                  <w:sz w:val="20"/>
                </w:rPr>
                <w:t>Item 3. 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16">
              <w:r>
                <w:rPr>
                  <w:rStyle w:val="InternetLink"/>
                  <w:rFonts w:ascii="Times New Roman;Times;Serif" w:hAnsi="Times New Roman;Times;Serif"/>
                  <w:b w:val="false"/>
                  <w:i w:val="false"/>
                  <w:caps w:val="false"/>
                  <w:smallCaps w:val="false"/>
                  <w:sz w:val="20"/>
                </w:rPr>
                <w:t>Item 4. Mine Safety Disclosures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17">
              <w:r>
                <w:rPr>
                  <w:rStyle w:val="InternetLink"/>
                  <w:rFonts w:ascii="Times New Roman;Times;Serif" w:hAnsi="Times New Roman;Times;Serif"/>
                  <w:b w:val="false"/>
                  <w:i w:val="false"/>
                  <w:caps w:val="false"/>
                  <w:smallCaps w:val="false"/>
                  <w:sz w:val="20"/>
                </w:rPr>
                <w:t>Item 5. 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18">
              <w:r>
                <w:rPr>
                  <w:rStyle w:val="InternetLink"/>
                  <w:rFonts w:ascii="Times New Roman;Times;Serif" w:hAnsi="Times New Roman;Times;Serif"/>
                  <w:b w:val="false"/>
                  <w:i w:val="false"/>
                  <w:caps w:val="false"/>
                  <w:smallCaps w:val="false"/>
                  <w:sz w:val="20"/>
                </w:rPr>
                <w:t>Item 6. 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sp_019">
              <w:r>
                <w:rPr>
                  <w:rStyle w:val="InternetLink"/>
                  <w:rFonts w:ascii="Times New Roman;Times;Serif" w:hAnsi="Times New Roman;Times;Serif"/>
                  <w:b w:val="false"/>
                  <w:i w:val="false"/>
                  <w:caps w:val="false"/>
                  <w:smallCaps w:val="false"/>
                  <w:sz w:val="20"/>
                </w:rPr>
                <w:t>Signatures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Sanara, Sanara MedTech, our logo and our other trademarks or service marks appearing in this report are the property of Sanara MedTech Inc. Trade names, trademarks and service marks of other companies appearing in this report are the property of their respective owners. Solely for convenience, the trademarks, service marks and trade names included in this report are without the ®, ™ or other applicable symbols, but such references are not intended to indicate, in any way, that we will not assert, to the fullest extent under applicable law, our rights or the rights of the applicable licensors to these trademarks, service 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“Sanara MedTech,” “Sanara,” the “Company,” “our,” “us,” or “we,” refer to Sanara MedTech Inc. and its consolidated subsidiaries.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bookmarkStart w:id="30" w:name="sp_001"/>
      <w:bookmarkEnd w:id="30"/>
      <w:r>
        <w:rPr>
          <w:rFonts w:ascii="Times New Roman;Times;Serif" w:hAnsi="Times New Roman;Times;Serif"/>
          <w:b/>
          <w:i/>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sp_002"/>
      <w:bookmarkEnd w:id="31"/>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p_003"/>
      <w:bookmarkEnd w:id="32"/>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 w:name="xdx_309_111_z4WCjprU8vr5"/>
      <w:bookmarkStart w:id="34" w:name="xdx_309_111_z4WCjprU8vr5"/>
      <w:bookmarkEnd w:id="34"/>
    </w:p>
    <w:tbl>
      <w:tblPr>
        <w:tblW w:w="10205" w:type="dxa"/>
        <w:jc w:val="left"/>
        <w:tblInd w:w="0" w:type="dxa"/>
        <w:tblLayout w:type="fixed"/>
        <w:tblCellMar>
          <w:top w:w="0" w:type="dxa"/>
          <w:left w:w="0" w:type="dxa"/>
          <w:bottom w:w="0" w:type="dxa"/>
          <w:right w:w="0" w:type="dxa"/>
        </w:tblCellMar>
      </w:tblPr>
      <w:tblGrid>
        <w:gridCol w:w="7214"/>
        <w:gridCol w:w="60"/>
        <w:gridCol w:w="140"/>
        <w:gridCol w:w="1175"/>
        <w:gridCol w:w="95"/>
        <w:gridCol w:w="60"/>
        <w:gridCol w:w="143"/>
        <w:gridCol w:w="1207"/>
        <w:gridCol w:w="111"/>
      </w:tblGrid>
      <w:tr>
        <w:trPr/>
        <w:tc>
          <w:tcPr>
            <w:tcW w:w="7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35" w:name="xdx_49B_20260630_zClrWQfwJqh2"/>
            <w:bookmarkEnd w:id="35"/>
          </w:p>
        </w:tc>
        <w:tc>
          <w:tcPr>
            <w:tcW w:w="13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 w:name="xdx_49C_20251231_zrBtWYHlyrHa"/>
            <w:bookmarkEnd w:id="36"/>
          </w:p>
        </w:tc>
        <w:tc>
          <w:tcPr>
            <w:tcW w:w="1350"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center"/>
              <w:rPr/>
            </w:pPr>
            <w:r>
              <w:rPr/>
              <w:t> </w:t>
            </w:r>
          </w:p>
        </w:tc>
      </w:tr>
      <w:tr>
        <w:trPr/>
        <w:tc>
          <w:tcPr>
            <w:tcW w:w="7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center"/>
              <w:rPr/>
            </w:pPr>
            <w:r>
              <w:rPr/>
              <w:t> </w:t>
            </w:r>
          </w:p>
        </w:tc>
      </w:tr>
      <w:tr>
        <w:trPr/>
        <w:tc>
          <w:tcPr>
            <w:tcW w:w="72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7" w:name="xdx_404_eus-gaap--AssetsAbstract_iB_z3Jj"/>
            <w:bookmarkEnd w:id="37"/>
          </w:p>
        </w:tc>
      </w:tr>
      <w:tr>
        <w:trPr/>
        <w:tc>
          <w:tcPr>
            <w:tcW w:w="7214"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8" w:name="xdx_406_eus-gaap--AssetsCurrentAbstract_"/>
            <w:bookmarkEnd w:id="38"/>
          </w:p>
        </w:tc>
      </w:tr>
      <w:tr>
        <w:trPr/>
        <w:tc>
          <w:tcPr>
            <w:tcW w:w="7214"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9" w:name="xdx_402_eus-gaap--CashAndCashEquivalents"/>
            <w:bookmarkEnd w:id="39"/>
          </w:p>
        </w:tc>
      </w:tr>
      <w:tr>
        <w:trPr/>
        <w:tc>
          <w:tcPr>
            <w:tcW w:w="7214" w:type="dxa"/>
            <w:tcBorders/>
            <w:shd w:fill="CCEEFF" w:val="clear"/>
            <w:vAlign w:val="center"/>
          </w:tcPr>
          <w:p>
            <w:pPr>
              <w:pStyle w:val="TableContents"/>
              <w:bidi w:val="0"/>
              <w:spacing w:before="0" w:after="283"/>
              <w:jc w:val="left"/>
              <w:rPr>
                <w:b w:val="false"/>
              </w:rPr>
            </w:pPr>
            <w:r>
              <w:rPr>
                <w:b w:val="false"/>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15,421,170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16,578,857</w:t>
            </w:r>
          </w:p>
        </w:tc>
        <w:tc>
          <w:tcPr>
            <w:tcW w:w="111" w:type="dxa"/>
            <w:tcBorders/>
            <w:shd w:fill="CCEEFF" w:val="clear"/>
            <w:vAlign w:val="center"/>
          </w:tcPr>
          <w:p>
            <w:pPr>
              <w:pStyle w:val="TableContents"/>
              <w:bidi w:val="0"/>
              <w:spacing w:before="0" w:after="283"/>
              <w:jc w:val="left"/>
              <w:rPr/>
            </w:pPr>
            <w:r>
              <w:rPr/>
              <w:t> </w:t>
            </w:r>
            <w:bookmarkStart w:id="40" w:name="xdx_404_eus-gaap--AccountsReceivableNetC"/>
            <w:bookmarkEnd w:id="40"/>
          </w:p>
        </w:tc>
      </w:tr>
      <w:tr>
        <w:trPr/>
        <w:tc>
          <w:tcPr>
            <w:tcW w:w="7214" w:type="dxa"/>
            <w:tcBorders/>
            <w:shd w:fill="FFFFFF" w:val="clear"/>
            <w:vAlign w:val="center"/>
          </w:tcPr>
          <w:p>
            <w:pPr>
              <w:pStyle w:val="TableContents"/>
              <w:bidi w:val="0"/>
              <w:spacing w:before="0" w:after="283"/>
              <w:jc w:val="left"/>
              <w:rPr>
                <w:b w:val="false"/>
              </w:rPr>
            </w:pPr>
            <w:r>
              <w:rPr>
                <w:b w:val="false"/>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12,572,651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11,998,075</w:t>
            </w:r>
          </w:p>
        </w:tc>
        <w:tc>
          <w:tcPr>
            <w:tcW w:w="111" w:type="dxa"/>
            <w:tcBorders/>
            <w:shd w:fill="FFFFFF" w:val="clear"/>
            <w:vAlign w:val="center"/>
          </w:tcPr>
          <w:p>
            <w:pPr>
              <w:pStyle w:val="TableContents"/>
              <w:bidi w:val="0"/>
              <w:spacing w:before="0" w:after="283"/>
              <w:jc w:val="left"/>
              <w:rPr/>
            </w:pPr>
            <w:r>
              <w:rPr/>
              <w:t> </w:t>
            </w:r>
            <w:bookmarkStart w:id="41" w:name="xdx_40D_eus-gaap--InventoryNet_i02I_maCz"/>
            <w:bookmarkEnd w:id="41"/>
          </w:p>
        </w:tc>
      </w:tr>
      <w:tr>
        <w:trPr/>
        <w:tc>
          <w:tcPr>
            <w:tcW w:w="7214" w:type="dxa"/>
            <w:tcBorders/>
            <w:shd w:fill="CCEEFF" w:val="clear"/>
            <w:vAlign w:val="center"/>
          </w:tcPr>
          <w:p>
            <w:pPr>
              <w:pStyle w:val="TableContents"/>
              <w:bidi w:val="0"/>
              <w:spacing w:before="0" w:after="283"/>
              <w:jc w:val="left"/>
              <w:rPr>
                <w:b w:val="false"/>
              </w:rPr>
            </w:pPr>
            <w:r>
              <w:rPr>
                <w:b w:val="false"/>
              </w:rPr>
              <w:t>Inventory,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3,459,921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3,948,748</w:t>
            </w:r>
          </w:p>
        </w:tc>
        <w:tc>
          <w:tcPr>
            <w:tcW w:w="111" w:type="dxa"/>
            <w:tcBorders/>
            <w:shd w:fill="CCEEFF" w:val="clear"/>
            <w:vAlign w:val="center"/>
          </w:tcPr>
          <w:p>
            <w:pPr>
              <w:pStyle w:val="TableContents"/>
              <w:bidi w:val="0"/>
              <w:spacing w:before="0" w:after="283"/>
              <w:jc w:val="left"/>
              <w:rPr/>
            </w:pPr>
            <w:r>
              <w:rPr/>
              <w:t> </w:t>
            </w:r>
            <w:bookmarkStart w:id="42" w:name="xdx_407_eus-gaap--PrepaidExpenseAndOther"/>
            <w:bookmarkEnd w:id="42"/>
          </w:p>
        </w:tc>
      </w:tr>
      <w:tr>
        <w:trPr/>
        <w:tc>
          <w:tcPr>
            <w:tcW w:w="7214" w:type="dxa"/>
            <w:tcBorders/>
            <w:shd w:fill="FFFFFF" w:val="clear"/>
            <w:vAlign w:val="center"/>
          </w:tcPr>
          <w:p>
            <w:pPr>
              <w:pStyle w:val="TableContents"/>
              <w:bidi w:val="0"/>
              <w:spacing w:before="0" w:after="283"/>
              <w:jc w:val="left"/>
              <w:rPr>
                <w:b w:val="false"/>
              </w:rPr>
            </w:pPr>
            <w:r>
              <w:rPr>
                <w:b w:val="false"/>
              </w:rPr>
              <w:t>Prepaid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741,733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948,620</w:t>
            </w:r>
          </w:p>
        </w:tc>
        <w:tc>
          <w:tcPr>
            <w:tcW w:w="111" w:type="dxa"/>
            <w:tcBorders/>
            <w:shd w:fill="FFFFFF" w:val="clear"/>
            <w:vAlign w:val="center"/>
          </w:tcPr>
          <w:p>
            <w:pPr>
              <w:pStyle w:val="TableContents"/>
              <w:bidi w:val="0"/>
              <w:spacing w:before="0" w:after="283"/>
              <w:jc w:val="left"/>
              <w:rPr/>
            </w:pPr>
            <w:r>
              <w:rPr/>
              <w:t> </w:t>
            </w:r>
            <w:bookmarkStart w:id="43" w:name="xdx_40C_eus-gaap--AssetsOfDisposalGroupI"/>
            <w:bookmarkEnd w:id="43"/>
          </w:p>
        </w:tc>
      </w:tr>
      <w:tr>
        <w:trPr/>
        <w:tc>
          <w:tcPr>
            <w:tcW w:w="7214" w:type="dxa"/>
            <w:tcBorders/>
            <w:shd w:fill="CCEEFF" w:val="clear"/>
            <w:vAlign w:val="center"/>
          </w:tcPr>
          <w:p>
            <w:pPr>
              <w:pStyle w:val="TableContents"/>
              <w:bidi w:val="0"/>
              <w:spacing w:before="0" w:after="283"/>
              <w:jc w:val="left"/>
              <w:rPr>
                <w:b w:val="false"/>
              </w:rPr>
            </w:pPr>
            <w:r>
              <w:rPr>
                <w:b w:val="false"/>
              </w:rPr>
              <w:t>Current assets related to discontinued operations (Note 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67,863</w:t>
            </w:r>
          </w:p>
        </w:tc>
        <w:tc>
          <w:tcPr>
            <w:tcW w:w="111" w:type="dxa"/>
            <w:tcBorders/>
            <w:shd w:fill="CCEEFF" w:val="clear"/>
            <w:vAlign w:val="center"/>
          </w:tcPr>
          <w:p>
            <w:pPr>
              <w:pStyle w:val="TableContents"/>
              <w:bidi w:val="0"/>
              <w:spacing w:before="0" w:after="283"/>
              <w:jc w:val="left"/>
              <w:rPr/>
            </w:pPr>
            <w:r>
              <w:rPr/>
              <w:t> </w:t>
            </w:r>
            <w:bookmarkStart w:id="44" w:name="xdx_40F_eus-gaap--AssetsCurrent_i02TI_mt"/>
            <w:bookmarkEnd w:id="44"/>
          </w:p>
        </w:tc>
      </w:tr>
      <w:tr>
        <w:trPr/>
        <w:tc>
          <w:tcPr>
            <w:tcW w:w="7214"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32,200,678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33,542,163</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45" w:name="xdx_40A_eus-gaap--AssetsNoncurrentAbstra"/>
            <w:bookmarkEnd w:id="45"/>
          </w:p>
        </w:tc>
      </w:tr>
      <w:tr>
        <w:trPr/>
        <w:tc>
          <w:tcPr>
            <w:tcW w:w="7214" w:type="dxa"/>
            <w:tcBorders/>
            <w:shd w:fill="FFFFFF" w:val="clear"/>
            <w:vAlign w:val="center"/>
          </w:tcPr>
          <w:p>
            <w:pPr>
              <w:pStyle w:val="TableContents"/>
              <w:bidi w:val="0"/>
              <w:spacing w:before="0" w:after="283"/>
              <w:jc w:val="left"/>
              <w:rPr>
                <w:b/>
              </w:rPr>
            </w:pPr>
            <w:r>
              <w:rPr>
                <w:b/>
              </w:rPr>
              <w:t>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46" w:name="xdx_407_eus-gaap--IntangibleAssetsNetExc"/>
            <w:bookmarkEnd w:id="46"/>
          </w:p>
        </w:tc>
      </w:tr>
      <w:tr>
        <w:trPr/>
        <w:tc>
          <w:tcPr>
            <w:tcW w:w="7214" w:type="dxa"/>
            <w:tcBorders/>
            <w:shd w:fill="CCEEFF" w:val="clear"/>
            <w:vAlign w:val="center"/>
          </w:tcPr>
          <w:p>
            <w:pPr>
              <w:pStyle w:val="TableContents"/>
              <w:bidi w:val="0"/>
              <w:spacing w:before="0" w:after="283"/>
              <w:jc w:val="left"/>
              <w:rPr>
                <w:b w:val="false"/>
              </w:rPr>
            </w:pPr>
            <w:r>
              <w:rPr>
                <w:b w:val="false"/>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17,277,013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18,640,673</w:t>
            </w:r>
          </w:p>
        </w:tc>
        <w:tc>
          <w:tcPr>
            <w:tcW w:w="111" w:type="dxa"/>
            <w:tcBorders/>
            <w:shd w:fill="CCEEFF" w:val="clear"/>
            <w:vAlign w:val="center"/>
          </w:tcPr>
          <w:p>
            <w:pPr>
              <w:pStyle w:val="TableContents"/>
              <w:bidi w:val="0"/>
              <w:spacing w:before="0" w:after="283"/>
              <w:jc w:val="left"/>
              <w:rPr/>
            </w:pPr>
            <w:r>
              <w:rPr/>
              <w:t> </w:t>
            </w:r>
            <w:bookmarkStart w:id="47" w:name="xdx_403_eus-gaap--Goodwill_i02I_maCzoY9_"/>
            <w:bookmarkEnd w:id="47"/>
          </w:p>
        </w:tc>
      </w:tr>
      <w:tr>
        <w:trPr/>
        <w:tc>
          <w:tcPr>
            <w:tcW w:w="7214" w:type="dxa"/>
            <w:tcBorders/>
            <w:shd w:fill="FFFFFF" w:val="clear"/>
            <w:vAlign w:val="center"/>
          </w:tcPr>
          <w:p>
            <w:pPr>
              <w:pStyle w:val="TableContents"/>
              <w:bidi w:val="0"/>
              <w:spacing w:before="0" w:after="283"/>
              <w:jc w:val="left"/>
              <w:rPr>
                <w:b w:val="false"/>
              </w:rPr>
            </w:pPr>
            <w:r>
              <w:rPr>
                <w:b w:val="false"/>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3,601,781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3,601,781</w:t>
            </w:r>
          </w:p>
        </w:tc>
        <w:tc>
          <w:tcPr>
            <w:tcW w:w="111" w:type="dxa"/>
            <w:tcBorders/>
            <w:shd w:fill="FFFFFF" w:val="clear"/>
            <w:vAlign w:val="center"/>
          </w:tcPr>
          <w:p>
            <w:pPr>
              <w:pStyle w:val="TableContents"/>
              <w:bidi w:val="0"/>
              <w:spacing w:before="0" w:after="283"/>
              <w:jc w:val="left"/>
              <w:rPr/>
            </w:pPr>
            <w:r>
              <w:rPr/>
              <w:t> </w:t>
            </w:r>
            <w:bookmarkStart w:id="48" w:name="xdx_40A_eus-gaap--LongTermInvestments_i0"/>
            <w:bookmarkEnd w:id="48"/>
          </w:p>
        </w:tc>
      </w:tr>
      <w:tr>
        <w:trPr/>
        <w:tc>
          <w:tcPr>
            <w:tcW w:w="7214" w:type="dxa"/>
            <w:tcBorders/>
            <w:shd w:fill="CCEEFF" w:val="clear"/>
            <w:vAlign w:val="center"/>
          </w:tcPr>
          <w:p>
            <w:pPr>
              <w:pStyle w:val="TableContents"/>
              <w:bidi w:val="0"/>
              <w:spacing w:before="0" w:after="283"/>
              <w:jc w:val="left"/>
              <w:rPr>
                <w:b w:val="false"/>
              </w:rPr>
            </w:pPr>
            <w:r>
              <w:rPr>
                <w:b w:val="false"/>
              </w:rPr>
              <w:t>Investment in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13,730,703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14,626,858</w:t>
            </w:r>
          </w:p>
        </w:tc>
        <w:tc>
          <w:tcPr>
            <w:tcW w:w="111" w:type="dxa"/>
            <w:tcBorders/>
            <w:shd w:fill="CCEEFF" w:val="clear"/>
            <w:vAlign w:val="center"/>
          </w:tcPr>
          <w:p>
            <w:pPr>
              <w:pStyle w:val="TableContents"/>
              <w:bidi w:val="0"/>
              <w:spacing w:before="0" w:after="283"/>
              <w:jc w:val="left"/>
              <w:rPr/>
            </w:pPr>
            <w:r>
              <w:rPr/>
              <w:t> </w:t>
            </w:r>
            <w:bookmarkStart w:id="49" w:name="xdx_408_eus-gaap--OperatingLeaseRightOfU"/>
            <w:bookmarkEnd w:id="49"/>
          </w:p>
        </w:tc>
      </w:tr>
      <w:tr>
        <w:trPr/>
        <w:tc>
          <w:tcPr>
            <w:tcW w:w="7214" w:type="dxa"/>
            <w:tcBorders/>
            <w:shd w:fill="FFFFFF" w:val="clear"/>
            <w:vAlign w:val="center"/>
          </w:tcPr>
          <w:p>
            <w:pPr>
              <w:pStyle w:val="TableContents"/>
              <w:bidi w:val="0"/>
              <w:spacing w:before="0" w:after="283"/>
              <w:jc w:val="left"/>
              <w:rPr>
                <w:b w:val="false"/>
              </w:rPr>
            </w:pPr>
            <w:r>
              <w:rPr>
                <w:b w:val="false"/>
              </w:rPr>
              <w:t>Right of use assets –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1,909,278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2,075,634</w:t>
            </w:r>
          </w:p>
        </w:tc>
        <w:tc>
          <w:tcPr>
            <w:tcW w:w="111" w:type="dxa"/>
            <w:tcBorders/>
            <w:shd w:fill="FFFFFF" w:val="clear"/>
            <w:vAlign w:val="center"/>
          </w:tcPr>
          <w:p>
            <w:pPr>
              <w:pStyle w:val="TableContents"/>
              <w:bidi w:val="0"/>
              <w:spacing w:before="0" w:after="283"/>
              <w:jc w:val="left"/>
              <w:rPr/>
            </w:pPr>
            <w:r>
              <w:rPr/>
              <w:t> </w:t>
            </w:r>
            <w:bookmarkStart w:id="50" w:name="xdx_40D_eus-gaap--PropertyPlantAndEquipm"/>
            <w:bookmarkEnd w:id="50"/>
          </w:p>
        </w:tc>
      </w:tr>
      <w:tr>
        <w:trPr/>
        <w:tc>
          <w:tcPr>
            <w:tcW w:w="7214" w:type="dxa"/>
            <w:tcBorders/>
            <w:shd w:fill="CCEEFF" w:val="clear"/>
            <w:vAlign w:val="center"/>
          </w:tcPr>
          <w:p>
            <w:pPr>
              <w:pStyle w:val="TableContents"/>
              <w:bidi w:val="0"/>
              <w:spacing w:before="0" w:after="283"/>
              <w:jc w:val="left"/>
              <w:rPr>
                <w:b w:val="false"/>
              </w:rPr>
            </w:pPr>
            <w:r>
              <w:rPr>
                <w:b w:val="false"/>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426,934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456,962</w:t>
            </w:r>
          </w:p>
        </w:tc>
        <w:tc>
          <w:tcPr>
            <w:tcW w:w="111" w:type="dxa"/>
            <w:tcBorders/>
            <w:shd w:fill="CCEEFF" w:val="clear"/>
            <w:vAlign w:val="center"/>
          </w:tcPr>
          <w:p>
            <w:pPr>
              <w:pStyle w:val="TableContents"/>
              <w:bidi w:val="0"/>
              <w:spacing w:before="0" w:after="283"/>
              <w:jc w:val="left"/>
              <w:rPr/>
            </w:pPr>
            <w:r>
              <w:rPr/>
              <w:t> </w:t>
            </w:r>
            <w:bookmarkStart w:id="51" w:name="xdx_402_eus-gaap--AssetsNoncurrent_i02TI"/>
            <w:bookmarkEnd w:id="51"/>
          </w:p>
        </w:tc>
      </w:tr>
      <w:tr>
        <w:trPr/>
        <w:tc>
          <w:tcPr>
            <w:tcW w:w="7214" w:type="dxa"/>
            <w:tcBorders/>
            <w:shd w:fill="FFFFFF" w:val="clear"/>
            <w:vAlign w:val="center"/>
          </w:tcPr>
          <w:p>
            <w:pPr>
              <w:pStyle w:val="TableContents"/>
              <w:bidi w:val="0"/>
              <w:spacing w:before="0" w:after="283"/>
              <w:jc w:val="left"/>
              <w:rPr>
                <w:b/>
              </w:rPr>
            </w:pPr>
            <w:r>
              <w:rPr>
                <w:b/>
              </w:rPr>
              <w:t>Total 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36,945,709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39,401,908</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2" w:name="xdx_40F_eus-gaap--Assets_i01TI_mtCz5Wo_z"/>
            <w:bookmarkEnd w:id="52"/>
          </w:p>
        </w:tc>
      </w:tr>
      <w:tr>
        <w:trPr/>
        <w:tc>
          <w:tcPr>
            <w:tcW w:w="7214"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69,146,387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72,944,071</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3" w:name="xdx_40C_eus-gaap--LiabilitiesAndStockhol"/>
            <w:bookmarkEnd w:id="53"/>
          </w:p>
        </w:tc>
      </w:tr>
      <w:tr>
        <w:trPr/>
        <w:tc>
          <w:tcPr>
            <w:tcW w:w="7214" w:type="dxa"/>
            <w:tcBorders/>
            <w:shd w:fill="FFFFFF" w:val="clear"/>
            <w:vAlign w:val="center"/>
          </w:tcPr>
          <w:p>
            <w:pPr>
              <w:pStyle w:val="TableContents"/>
              <w:bidi w:val="0"/>
              <w:spacing w:before="0" w:after="283"/>
              <w:jc w:val="center"/>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4" w:name="xdx_400_eus-gaap--LiabilitiesCurrentAbst"/>
            <w:bookmarkEnd w:id="54"/>
          </w:p>
        </w:tc>
      </w:tr>
      <w:tr>
        <w:trPr/>
        <w:tc>
          <w:tcPr>
            <w:tcW w:w="7214"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5" w:name="xdx_402_eus-gaap--AccountsPayableCurrent"/>
            <w:bookmarkEnd w:id="55"/>
          </w:p>
        </w:tc>
      </w:tr>
      <w:tr>
        <w:trPr/>
        <w:tc>
          <w:tcPr>
            <w:tcW w:w="7214" w:type="dxa"/>
            <w:tcBorders/>
            <w:shd w:fill="FFFFFF" w:val="clear"/>
            <w:vAlign w:val="center"/>
          </w:tcPr>
          <w:p>
            <w:pPr>
              <w:pStyle w:val="TableContents"/>
              <w:bidi w:val="0"/>
              <w:spacing w:before="0" w:after="283"/>
              <w:jc w:val="left"/>
              <w:rPr>
                <w:b w:val="false"/>
              </w:rPr>
            </w:pPr>
            <w:r>
              <w:rPr>
                <w:b w:val="false"/>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1,401,443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2,338,761</w:t>
            </w:r>
          </w:p>
        </w:tc>
        <w:tc>
          <w:tcPr>
            <w:tcW w:w="111" w:type="dxa"/>
            <w:tcBorders/>
            <w:shd w:fill="FFFFFF" w:val="clear"/>
            <w:vAlign w:val="center"/>
          </w:tcPr>
          <w:p>
            <w:pPr>
              <w:pStyle w:val="TableContents"/>
              <w:bidi w:val="0"/>
              <w:spacing w:before="0" w:after="283"/>
              <w:jc w:val="left"/>
              <w:rPr/>
            </w:pPr>
            <w:r>
              <w:rPr/>
              <w:t> </w:t>
            </w:r>
            <w:bookmarkStart w:id="56" w:name="xdx_40F_eus-gaap--AccruedSalesCommission"/>
            <w:bookmarkEnd w:id="56"/>
          </w:p>
        </w:tc>
      </w:tr>
      <w:tr>
        <w:trPr/>
        <w:tc>
          <w:tcPr>
            <w:tcW w:w="7214" w:type="dxa"/>
            <w:tcBorders/>
            <w:shd w:fill="CCEEFF" w:val="clear"/>
            <w:vAlign w:val="center"/>
          </w:tcPr>
          <w:p>
            <w:pPr>
              <w:pStyle w:val="TableContents"/>
              <w:bidi w:val="0"/>
              <w:spacing w:before="0" w:after="283"/>
              <w:jc w:val="left"/>
              <w:rPr>
                <w:b w:val="false"/>
              </w:rPr>
            </w:pPr>
            <w:r>
              <w:rPr>
                <w:b w:val="false"/>
              </w:rPr>
              <w:t>Accrued bonuses and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6,801,395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11,781,435</w:t>
            </w:r>
          </w:p>
        </w:tc>
        <w:tc>
          <w:tcPr>
            <w:tcW w:w="111" w:type="dxa"/>
            <w:tcBorders/>
            <w:shd w:fill="CCEEFF" w:val="clear"/>
            <w:vAlign w:val="center"/>
          </w:tcPr>
          <w:p>
            <w:pPr>
              <w:pStyle w:val="TableContents"/>
              <w:bidi w:val="0"/>
              <w:spacing w:before="0" w:after="283"/>
              <w:jc w:val="left"/>
              <w:rPr/>
            </w:pPr>
            <w:r>
              <w:rPr/>
              <w:t> </w:t>
            </w:r>
            <w:bookmarkStart w:id="57" w:name="xdx_405_eus-gaap--AccruedRoyaltiesCurren"/>
            <w:bookmarkEnd w:id="57"/>
          </w:p>
        </w:tc>
      </w:tr>
      <w:tr>
        <w:trPr/>
        <w:tc>
          <w:tcPr>
            <w:tcW w:w="7214" w:type="dxa"/>
            <w:tcBorders/>
            <w:shd w:fill="FFFFFF" w:val="clear"/>
            <w:vAlign w:val="center"/>
          </w:tcPr>
          <w:p>
            <w:pPr>
              <w:pStyle w:val="TableContents"/>
              <w:bidi w:val="0"/>
              <w:spacing w:before="0" w:after="283"/>
              <w:jc w:val="left"/>
              <w:rPr>
                <w:b w:val="false"/>
              </w:rPr>
            </w:pPr>
            <w:r>
              <w:rPr>
                <w:b w:val="false"/>
              </w:rPr>
              <w:t>Accrued royalties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3,562,415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2,684,626</w:t>
            </w:r>
          </w:p>
        </w:tc>
        <w:tc>
          <w:tcPr>
            <w:tcW w:w="111" w:type="dxa"/>
            <w:tcBorders/>
            <w:shd w:fill="FFFFFF" w:val="clear"/>
            <w:vAlign w:val="center"/>
          </w:tcPr>
          <w:p>
            <w:pPr>
              <w:pStyle w:val="TableContents"/>
              <w:bidi w:val="0"/>
              <w:spacing w:before="0" w:after="283"/>
              <w:jc w:val="left"/>
              <w:rPr/>
            </w:pPr>
            <w:r>
              <w:rPr/>
              <w:t> </w:t>
            </w:r>
            <w:bookmarkStart w:id="58" w:name="xdx_40E_eus-gaap--OtherLiabilitiesCurren"/>
            <w:bookmarkEnd w:id="58"/>
          </w:p>
        </w:tc>
      </w:tr>
      <w:tr>
        <w:trPr/>
        <w:tc>
          <w:tcPr>
            <w:tcW w:w="7214" w:type="dxa"/>
            <w:tcBorders/>
            <w:shd w:fill="CCEEFF" w:val="clear"/>
            <w:vAlign w:val="center"/>
          </w:tcPr>
          <w:p>
            <w:pPr>
              <w:pStyle w:val="TableContents"/>
              <w:bidi w:val="0"/>
              <w:spacing w:before="0" w:after="283"/>
              <w:jc w:val="left"/>
              <w:rPr>
                <w:b w:val="false"/>
              </w:rPr>
            </w:pPr>
            <w:r>
              <w:rPr>
                <w:b w:val="false"/>
              </w:rPr>
              <w:t>Earnout liabilities –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235,001</w:t>
            </w:r>
          </w:p>
        </w:tc>
        <w:tc>
          <w:tcPr>
            <w:tcW w:w="111" w:type="dxa"/>
            <w:tcBorders/>
            <w:shd w:fill="CCEEFF" w:val="clear"/>
            <w:vAlign w:val="center"/>
          </w:tcPr>
          <w:p>
            <w:pPr>
              <w:pStyle w:val="TableContents"/>
              <w:bidi w:val="0"/>
              <w:spacing w:before="0" w:after="283"/>
              <w:jc w:val="left"/>
              <w:rPr/>
            </w:pPr>
            <w:r>
              <w:rPr/>
              <w:t> </w:t>
            </w:r>
            <w:bookmarkStart w:id="59" w:name="xdx_405_eus-gaap--OperatingLeaseLiabilit"/>
            <w:bookmarkEnd w:id="59"/>
          </w:p>
        </w:tc>
      </w:tr>
      <w:tr>
        <w:trPr/>
        <w:tc>
          <w:tcPr>
            <w:tcW w:w="7214" w:type="dxa"/>
            <w:tcBorders/>
            <w:shd w:fill="FFFFFF" w:val="clear"/>
            <w:vAlign w:val="center"/>
          </w:tcPr>
          <w:p>
            <w:pPr>
              <w:pStyle w:val="TableContents"/>
              <w:bidi w:val="0"/>
              <w:spacing w:before="0" w:after="283"/>
              <w:jc w:val="left"/>
              <w:rPr>
                <w:b w:val="false"/>
              </w:rPr>
            </w:pPr>
            <w:r>
              <w:rPr>
                <w:b w:val="false"/>
              </w:rPr>
              <w:t>Operating lease liabilities –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383,153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353,229</w:t>
            </w:r>
          </w:p>
        </w:tc>
        <w:tc>
          <w:tcPr>
            <w:tcW w:w="111" w:type="dxa"/>
            <w:tcBorders/>
            <w:shd w:fill="FFFFFF" w:val="clear"/>
            <w:vAlign w:val="center"/>
          </w:tcPr>
          <w:p>
            <w:pPr>
              <w:pStyle w:val="TableContents"/>
              <w:bidi w:val="0"/>
              <w:spacing w:before="0" w:after="283"/>
              <w:jc w:val="left"/>
              <w:rPr/>
            </w:pPr>
            <w:r>
              <w:rPr/>
              <w:t> </w:t>
            </w:r>
            <w:bookmarkStart w:id="60" w:name="xdx_40D_eus-gaap--LiabilitiesOfDisposalG"/>
            <w:bookmarkEnd w:id="60"/>
          </w:p>
        </w:tc>
      </w:tr>
      <w:tr>
        <w:trPr/>
        <w:tc>
          <w:tcPr>
            <w:tcW w:w="7214" w:type="dxa"/>
            <w:tcBorders/>
            <w:shd w:fill="CCEEFF" w:val="clear"/>
            <w:vAlign w:val="center"/>
          </w:tcPr>
          <w:p>
            <w:pPr>
              <w:pStyle w:val="TableContents"/>
              <w:bidi w:val="0"/>
              <w:spacing w:before="0" w:after="283"/>
              <w:jc w:val="left"/>
              <w:rPr>
                <w:b w:val="false"/>
              </w:rPr>
            </w:pPr>
            <w:r>
              <w:rPr>
                <w:b w:val="false"/>
              </w:rPr>
              <w:t>Current liabilities related to discontinued operations (Note 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345,585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1,233,478</w:t>
            </w:r>
          </w:p>
        </w:tc>
        <w:tc>
          <w:tcPr>
            <w:tcW w:w="111" w:type="dxa"/>
            <w:tcBorders/>
            <w:shd w:fill="CCEEFF" w:val="clear"/>
            <w:vAlign w:val="center"/>
          </w:tcPr>
          <w:p>
            <w:pPr>
              <w:pStyle w:val="TableContents"/>
              <w:bidi w:val="0"/>
              <w:spacing w:before="0" w:after="283"/>
              <w:jc w:val="left"/>
              <w:rPr/>
            </w:pPr>
            <w:r>
              <w:rPr/>
              <w:t> </w:t>
            </w:r>
            <w:bookmarkStart w:id="61" w:name="xdx_402_eus-gaap--LiabilitiesCurrent_i02"/>
            <w:bookmarkEnd w:id="61"/>
          </w:p>
        </w:tc>
      </w:tr>
      <w:tr>
        <w:trPr/>
        <w:tc>
          <w:tcPr>
            <w:tcW w:w="7214"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12,493,991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18,626,530</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2" w:name="xdx_404_eus-gaap--LiabilitiesNoncurrentA"/>
            <w:bookmarkEnd w:id="62"/>
          </w:p>
        </w:tc>
      </w:tr>
      <w:tr>
        <w:trPr/>
        <w:tc>
          <w:tcPr>
            <w:tcW w:w="7214"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63" w:name="xdx_40E_eus-gaap--LongTermDebtNoncurrent"/>
            <w:bookmarkEnd w:id="63"/>
          </w:p>
        </w:tc>
      </w:tr>
      <w:tr>
        <w:trPr/>
        <w:tc>
          <w:tcPr>
            <w:tcW w:w="7214"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46,477,087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45,970,937</w:t>
            </w:r>
          </w:p>
        </w:tc>
        <w:tc>
          <w:tcPr>
            <w:tcW w:w="111" w:type="dxa"/>
            <w:tcBorders/>
            <w:shd w:fill="CCEEFF" w:val="clear"/>
            <w:vAlign w:val="center"/>
          </w:tcPr>
          <w:p>
            <w:pPr>
              <w:pStyle w:val="TableContents"/>
              <w:bidi w:val="0"/>
              <w:spacing w:before="0" w:after="283"/>
              <w:jc w:val="left"/>
              <w:rPr/>
            </w:pPr>
            <w:r>
              <w:rPr/>
              <w:t> </w:t>
            </w:r>
            <w:bookmarkStart w:id="64" w:name="xdx_404_eus-gaap--OperatingLeaseLiabilit"/>
            <w:bookmarkEnd w:id="64"/>
          </w:p>
        </w:tc>
      </w:tr>
      <w:tr>
        <w:trPr/>
        <w:tc>
          <w:tcPr>
            <w:tcW w:w="7214" w:type="dxa"/>
            <w:tcBorders/>
            <w:shd w:fill="FFFFFF" w:val="clear"/>
            <w:vAlign w:val="center"/>
          </w:tcPr>
          <w:p>
            <w:pPr>
              <w:pStyle w:val="TableContents"/>
              <w:bidi w:val="0"/>
              <w:spacing w:before="0" w:after="283"/>
              <w:jc w:val="left"/>
              <w:rPr/>
            </w:pPr>
            <w:r>
              <w:rPr/>
              <w:t>Operating lease liabilities – long-term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1,669,529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1,868,703</w:t>
            </w:r>
          </w:p>
        </w:tc>
        <w:tc>
          <w:tcPr>
            <w:tcW w:w="111" w:type="dxa"/>
            <w:tcBorders/>
            <w:shd w:fill="FFFFFF" w:val="clear"/>
            <w:vAlign w:val="center"/>
          </w:tcPr>
          <w:p>
            <w:pPr>
              <w:pStyle w:val="TableContents"/>
              <w:bidi w:val="0"/>
              <w:spacing w:before="0" w:after="283"/>
              <w:jc w:val="left"/>
              <w:rPr/>
            </w:pPr>
            <w:r>
              <w:rPr/>
              <w:t> </w:t>
            </w:r>
            <w:bookmarkStart w:id="65" w:name="xdx_40F_eus-gaap--OtherLongTermDebt_i02I"/>
            <w:bookmarkEnd w:id="65"/>
          </w:p>
        </w:tc>
      </w:tr>
      <w:tr>
        <w:trPr/>
        <w:tc>
          <w:tcPr>
            <w:tcW w:w="7214"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571,320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548,125</w:t>
            </w:r>
          </w:p>
        </w:tc>
        <w:tc>
          <w:tcPr>
            <w:tcW w:w="111" w:type="dxa"/>
            <w:tcBorders/>
            <w:shd w:fill="CCEEFF" w:val="clear"/>
            <w:vAlign w:val="center"/>
          </w:tcPr>
          <w:p>
            <w:pPr>
              <w:pStyle w:val="TableContents"/>
              <w:bidi w:val="0"/>
              <w:spacing w:before="0" w:after="283"/>
              <w:jc w:val="left"/>
              <w:rPr/>
            </w:pPr>
            <w:r>
              <w:rPr/>
              <w:t> </w:t>
            </w:r>
            <w:bookmarkStart w:id="66" w:name="xdx_40D_eus-gaap--LiabilitiesNoncurrent_"/>
            <w:bookmarkEnd w:id="66"/>
          </w:p>
        </w:tc>
      </w:tr>
      <w:tr>
        <w:trPr/>
        <w:tc>
          <w:tcPr>
            <w:tcW w:w="7214" w:type="dxa"/>
            <w:tcBorders/>
            <w:shd w:fill="FFFFFF" w:val="clear"/>
            <w:vAlign w:val="center"/>
          </w:tcPr>
          <w:p>
            <w:pPr>
              <w:pStyle w:val="TableContents"/>
              <w:bidi w:val="0"/>
              <w:spacing w:before="0" w:after="283"/>
              <w:jc w:val="left"/>
              <w:rPr>
                <w:b/>
              </w:rPr>
            </w:pPr>
            <w:r>
              <w:rPr>
                <w:b/>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48,717,936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48,387,765</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7" w:name="xdx_408_eus-gaap--Liabilities_i01TI_mtCz"/>
            <w:bookmarkEnd w:id="67"/>
          </w:p>
        </w:tc>
      </w:tr>
      <w:tr>
        <w:trPr/>
        <w:tc>
          <w:tcPr>
            <w:tcW w:w="7214"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61,211,927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67,014,295</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8" w:name="xdx_407_eus-gaap--CommitmentsAndContinge"/>
            <w:bookmarkEnd w:id="68"/>
          </w:p>
        </w:tc>
      </w:tr>
      <w:tr>
        <w:trPr/>
        <w:tc>
          <w:tcPr>
            <w:tcW w:w="7214" w:type="dxa"/>
            <w:tcBorders/>
            <w:shd w:fill="FFFFFF" w:val="clear"/>
            <w:vAlign w:val="center"/>
          </w:tcPr>
          <w:p>
            <w:pPr>
              <w:pStyle w:val="TableContents"/>
              <w:bidi w:val="0"/>
              <w:spacing w:before="0" w:after="283"/>
              <w:jc w:val="left"/>
              <w:rPr>
                <w:b/>
              </w:rPr>
            </w:pPr>
            <w:r>
              <w:rPr>
                <w:b/>
              </w:rPr>
              <w:t>Commitments and contingencies (Note 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p>
        </w:tc>
      </w:tr>
      <w:tr>
        <w:trPr/>
        <w:tc>
          <w:tcPr>
            <w:tcW w:w="72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9" w:name="xdx_401_eus-gaap--StockholdersEquityIncl"/>
            <w:bookmarkEnd w:id="69"/>
          </w:p>
        </w:tc>
      </w:tr>
      <w:tr>
        <w:trPr/>
        <w:tc>
          <w:tcPr>
            <w:tcW w:w="7214"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70" w:name="xdx_400_eus-gaap--CommonStockValue_i02I_"/>
            <w:bookmarkEnd w:id="70"/>
          </w:p>
        </w:tc>
      </w:tr>
      <w:tr>
        <w:trPr/>
        <w:tc>
          <w:tcPr>
            <w:tcW w:w="7214" w:type="dxa"/>
            <w:tcBorders/>
            <w:shd w:fill="CCEEFF" w:val="clear"/>
            <w:vAlign w:val="center"/>
          </w:tcPr>
          <w:p>
            <w:pPr>
              <w:pStyle w:val="TableContents"/>
              <w:bidi w:val="0"/>
              <w:spacing w:before="0" w:after="283"/>
              <w:jc w:val="left"/>
              <w:rPr>
                <w:b w:val="false"/>
              </w:rPr>
            </w:pPr>
            <w:r>
              <w:rPr>
                <w:b w:val="false"/>
              </w:rPr>
              <w:t>Common Stock: $</w:t>
            </w:r>
            <w:bookmarkStart w:id="71" w:name="xdx_908_eus-gaap--CommonStockParOrStated"/>
            <w:bookmarkStart w:id="72" w:name="xdx_909_eus-gaap--CommonStockParOrStated"/>
            <w:bookmarkEnd w:id="71"/>
            <w:bookmarkEnd w:id="72"/>
            <w:r>
              <w:rPr>
                <w:b w:val="false"/>
              </w:rPr>
              <w:t xml:space="preserve">0.001 par value, </w:t>
            </w:r>
            <w:bookmarkStart w:id="73" w:name="xdx_90D_eus-gaap--CommonStockSharesAutho"/>
            <w:bookmarkStart w:id="74" w:name="xdx_90A_eus-gaap--CommonStockSharesAutho"/>
            <w:bookmarkEnd w:id="73"/>
            <w:bookmarkEnd w:id="74"/>
            <w:r>
              <w:rPr>
                <w:b w:val="false"/>
              </w:rPr>
              <w:t xml:space="preserve">20,000,000 shares authorized; </w:t>
            </w:r>
            <w:bookmarkStart w:id="75" w:name="xdx_908_eus-gaap--CommonStockSharesOutst"/>
            <w:bookmarkStart w:id="76" w:name="xdx_90C_eus-gaap--CommonStockSharesIssue"/>
            <w:bookmarkEnd w:id="75"/>
            <w:bookmarkEnd w:id="76"/>
            <w:r>
              <w:rPr>
                <w:b w:val="false"/>
              </w:rPr>
              <w:t xml:space="preserve">9,193,394 issued and outstanding as of June 30, 2026 and </w:t>
            </w:r>
            <w:bookmarkStart w:id="77" w:name="xdx_900_eus-gaap--CommonStockSharesOutst"/>
            <w:bookmarkStart w:id="78" w:name="xdx_90A_eus-gaap--CommonStockSharesIssue"/>
            <w:bookmarkEnd w:id="77"/>
            <w:bookmarkEnd w:id="78"/>
            <w:r>
              <w:rPr>
                <w:b w:val="false"/>
              </w:rPr>
              <w:t>8,946,913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8,948</w:t>
            </w:r>
          </w:p>
        </w:tc>
        <w:tc>
          <w:tcPr>
            <w:tcW w:w="111" w:type="dxa"/>
            <w:tcBorders/>
            <w:shd w:fill="CCEEFF" w:val="clear"/>
            <w:vAlign w:val="center"/>
          </w:tcPr>
          <w:p>
            <w:pPr>
              <w:pStyle w:val="TableContents"/>
              <w:bidi w:val="0"/>
              <w:spacing w:before="0" w:after="283"/>
              <w:jc w:val="left"/>
              <w:rPr/>
            </w:pPr>
            <w:r>
              <w:rPr/>
              <w:t> </w:t>
            </w:r>
            <w:bookmarkStart w:id="79" w:name="xdx_404_eus-gaap--AdditionalPaidInCapita"/>
            <w:bookmarkEnd w:id="79"/>
          </w:p>
        </w:tc>
      </w:tr>
      <w:tr>
        <w:trPr/>
        <w:tc>
          <w:tcPr>
            <w:tcW w:w="7214" w:type="dxa"/>
            <w:tcBorders/>
            <w:shd w:fill="FFFFFF" w:val="clear"/>
            <w:vAlign w:val="center"/>
          </w:tcPr>
          <w:p>
            <w:pPr>
              <w:pStyle w:val="TableContents"/>
              <w:bidi w:val="0"/>
              <w:spacing w:before="0" w:after="283"/>
              <w:jc w:val="left"/>
              <w:rPr>
                <w:b w:val="false"/>
              </w:rPr>
            </w:pPr>
            <w:r>
              <w:rPr>
                <w:b w:val="false"/>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82,826,049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81,232,536</w:t>
            </w:r>
          </w:p>
        </w:tc>
        <w:tc>
          <w:tcPr>
            <w:tcW w:w="111" w:type="dxa"/>
            <w:tcBorders/>
            <w:shd w:fill="FFFFFF" w:val="clear"/>
            <w:vAlign w:val="center"/>
          </w:tcPr>
          <w:p>
            <w:pPr>
              <w:pStyle w:val="TableContents"/>
              <w:bidi w:val="0"/>
              <w:spacing w:before="0" w:after="283"/>
              <w:jc w:val="left"/>
              <w:rPr/>
            </w:pPr>
            <w:r>
              <w:rPr/>
              <w:t> </w:t>
            </w:r>
            <w:bookmarkStart w:id="80" w:name="xdx_406_eus-gaap--RetainedEarningsAccumu"/>
            <w:bookmarkEnd w:id="80"/>
          </w:p>
        </w:tc>
      </w:tr>
      <w:tr>
        <w:trPr/>
        <w:tc>
          <w:tcPr>
            <w:tcW w:w="7214" w:type="dxa"/>
            <w:tcBorders/>
            <w:shd w:fill="CCEEFF" w:val="clear"/>
            <w:vAlign w:val="center"/>
          </w:tcPr>
          <w:p>
            <w:pPr>
              <w:pStyle w:val="TableContents"/>
              <w:bidi w:val="0"/>
              <w:spacing w:before="0" w:after="283"/>
              <w:jc w:val="left"/>
              <w:rPr>
                <w:b w:val="false"/>
              </w:rPr>
            </w:pPr>
            <w:r>
              <w:rPr>
                <w:b w:val="false"/>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(74,891,763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(75,303,042</w:t>
            </w:r>
          </w:p>
        </w:tc>
        <w:tc>
          <w:tcPr>
            <w:tcW w:w="111" w:type="dxa"/>
            <w:tcBorders/>
            <w:shd w:fill="CCEEFF" w:val="clear"/>
            <w:vAlign w:val="center"/>
          </w:tcPr>
          <w:p>
            <w:pPr>
              <w:pStyle w:val="TableContents"/>
              <w:bidi w:val="0"/>
              <w:spacing w:before="0" w:after="283"/>
              <w:jc w:val="left"/>
              <w:rPr/>
            </w:pPr>
            <w:r>
              <w:rPr/>
              <w:t>)</w:t>
            </w:r>
            <w:bookmarkStart w:id="81" w:name="xdx_404_eus-gaap--StockholdersEquity_i02"/>
            <w:bookmarkEnd w:id="81"/>
          </w:p>
        </w:tc>
      </w:tr>
      <w:tr>
        <w:trPr/>
        <w:tc>
          <w:tcPr>
            <w:tcW w:w="7214" w:type="dxa"/>
            <w:tcBorders/>
            <w:shd w:fill="FFFFFF" w:val="clear"/>
            <w:vAlign w:val="center"/>
          </w:tcPr>
          <w:p>
            <w:pPr>
              <w:pStyle w:val="TableContents"/>
              <w:bidi w:val="0"/>
              <w:spacing w:before="0" w:after="283"/>
              <w:jc w:val="left"/>
              <w:rPr>
                <w:b/>
              </w:rPr>
            </w:pPr>
            <w:r>
              <w:rPr>
                <w:b/>
              </w:rPr>
              <w:t>Total Sanara MedTech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7,943,480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b/>
              </w:rPr>
            </w:pPr>
            <w:r>
              <w:rPr>
                <w:b/>
              </w:rPr>
              <w:t>5,938,442</w:t>
            </w:r>
          </w:p>
        </w:tc>
        <w:tc>
          <w:tcPr>
            <w:tcW w:w="111" w:type="dxa"/>
            <w:tcBorders/>
            <w:shd w:fill="FFFFFF" w:val="clear"/>
            <w:vAlign w:val="center"/>
          </w:tcPr>
          <w:p>
            <w:pPr>
              <w:pStyle w:val="TableContents"/>
              <w:bidi w:val="0"/>
              <w:spacing w:before="0" w:after="283"/>
              <w:jc w:val="left"/>
              <w:rPr/>
            </w:pPr>
            <w:r>
              <w:rPr/>
              <w:t> </w:t>
            </w:r>
            <w:bookmarkStart w:id="82" w:name="xdx_40D_eus-gaap--MinorityInterest_i02I_"/>
            <w:bookmarkEnd w:id="82"/>
          </w:p>
        </w:tc>
      </w:tr>
      <w:tr>
        <w:trPr/>
        <w:tc>
          <w:tcPr>
            <w:tcW w:w="7214" w:type="dxa"/>
            <w:tcBorders/>
            <w:shd w:fill="CCEEFF" w:val="clear"/>
            <w:vAlign w:val="center"/>
          </w:tcPr>
          <w:p>
            <w:pPr>
              <w:pStyle w:val="TableContents"/>
              <w:bidi w:val="0"/>
              <w:spacing w:before="0" w:after="283"/>
              <w:jc w:val="left"/>
              <w:rPr/>
            </w:pPr>
            <w:r>
              <w:rPr/>
              <w:t>Equity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(8,666</w:t>
            </w:r>
          </w:p>
        </w:tc>
        <w:tc>
          <w:tcPr>
            <w:tcW w:w="111" w:type="dxa"/>
            <w:tcBorders/>
            <w:shd w:fill="CCEEFF" w:val="clear"/>
            <w:vAlign w:val="center"/>
          </w:tcPr>
          <w:p>
            <w:pPr>
              <w:pStyle w:val="TableContents"/>
              <w:bidi w:val="0"/>
              <w:spacing w:before="0" w:after="283"/>
              <w:jc w:val="left"/>
              <w:rPr/>
            </w:pPr>
            <w:r>
              <w:rPr/>
              <w:t>)</w:t>
            </w:r>
            <w:bookmarkStart w:id="83" w:name="xdx_403_eus-gaap--StockholdersEquityIncl"/>
            <w:bookmarkEnd w:id="83"/>
          </w:p>
        </w:tc>
      </w:tr>
      <w:tr>
        <w:trPr/>
        <w:tc>
          <w:tcPr>
            <w:tcW w:w="7214"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7,934,460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5,929,776</w:t>
            </w:r>
          </w:p>
        </w:tc>
        <w:tc>
          <w:tcPr>
            <w:tcW w:w="111" w:type="dxa"/>
            <w:tcBorders/>
            <w:shd w:fill="FFFFFF" w:val="clear"/>
            <w:vAlign w:val="center"/>
          </w:tcPr>
          <w:p>
            <w:pPr>
              <w:pStyle w:val="TableContents"/>
              <w:bidi w:val="0"/>
              <w:spacing w:before="0" w:after="283"/>
              <w:jc w:val="left"/>
              <w:rPr/>
            </w:pPr>
            <w:r>
              <w:rPr/>
              <w:t> </w:t>
            </w:r>
            <w:bookmarkStart w:id="84" w:name="xdx_403_eus-gaap--LiabilitiesAndStockhol"/>
            <w:bookmarkEnd w:id="84"/>
          </w:p>
        </w:tc>
      </w:tr>
      <w:tr>
        <w:trPr/>
        <w:tc>
          <w:tcPr>
            <w:tcW w:w="7214"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69,146,387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72,944,071</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5" w:name="sp_004"/>
      <w:bookmarkEnd w:id="85"/>
      <w:r>
        <w:rPr>
          <w:rFonts w:ascii="Times New Roman;Times;Serif" w:hAnsi="Times New Roman;Times;Serif"/>
          <w:b/>
          <w:i w:val="false"/>
          <w:caps w:val="false"/>
          <w:smallCaps w:val="false"/>
          <w:sz w:val="20"/>
        </w:rPr>
        <w:t>CONSOLIDATED STATEMENTS OF OPERATIONS (UNAUDITED)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6" w:name="xdx_30D_113_zNFzmbwDe6a"/>
      <w:bookmarkStart w:id="87" w:name="xdx_30D_113_zNFzmbwDe6a"/>
      <w:bookmarkEnd w:id="87"/>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88" w:name="xdx_490_20260401__20260630_zUkwmB7vF1k3"/>
            <w:bookmarkEnd w:id="8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9" w:name="xdx_493_20250401__20250630_zR3BJa2DorT7"/>
            <w:bookmarkEnd w:id="8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0" w:name="xdx_497_20260101__20260630_zxXWaRMsJuKi"/>
            <w:bookmarkEnd w:id="9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1" w:name="xdx_49E_20250101__20250630_z41M6QKzFC05"/>
            <w:bookmarkEnd w:id="9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bookmarkStart w:id="92" w:name="xdx_40E_eus-gaap--RevenueFromContractWit"/>
            <w:bookmarkEnd w:id="92"/>
          </w:p>
        </w:tc>
      </w:tr>
      <w:tr>
        <w:trPr/>
        <w:tc>
          <w:tcPr>
            <w:tcW w:w="4610" w:type="dxa"/>
            <w:tcBorders/>
            <w:shd w:fill="CCEEFF" w:val="clear"/>
            <w:vAlign w:val="center"/>
          </w:tcPr>
          <w:p>
            <w:pPr>
              <w:pStyle w:val="TableContents"/>
              <w:bidi w:val="0"/>
              <w:spacing w:before="0" w:after="283"/>
              <w:jc w:val="left"/>
              <w:rPr>
                <w:b/>
              </w:rPr>
            </w:pPr>
            <w:r>
              <w:rPr>
                <w:b/>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28,136,757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25,804,252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55,935,291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49,238,348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3" w:name="xdx_401_eus-gaap--CostOfRevenue_msGPzdHn"/>
            <w:bookmarkEnd w:id="93"/>
          </w:p>
        </w:tc>
      </w:tr>
      <w:tr>
        <w:trPr/>
        <w:tc>
          <w:tcPr>
            <w:tcW w:w="461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1,981,347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1,937,282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3,904,936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3,772,249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 w:name="xdx_40E_eus-gaap--GrossProfit_iT_mtGPzdH"/>
            <w:bookmarkEnd w:id="94"/>
          </w:p>
        </w:tc>
      </w:tr>
      <w:tr>
        <w:trPr/>
        <w:tc>
          <w:tcPr>
            <w:tcW w:w="46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26,155,410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23,866,970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52,030,355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45,466,099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 w:name="xdx_409_eus-gaap--OperatingExpensesAbstr"/>
            <w:bookmarkEnd w:id="95"/>
          </w:p>
        </w:tc>
      </w:tr>
      <w:tr>
        <w:trPr/>
        <w:tc>
          <w:tcPr>
            <w:tcW w:w="46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6" w:name="xdx_406_eus-gaap--SellingGeneralAndAdmin"/>
            <w:bookmarkEnd w:id="96"/>
          </w:p>
        </w:tc>
      </w:tr>
      <w:tr>
        <w:trPr/>
        <w:tc>
          <w:tcPr>
            <w:tcW w:w="4610" w:type="dxa"/>
            <w:tcBorders/>
            <w:shd w:fill="FFFFFF" w:val="clear"/>
            <w:vAlign w:val="center"/>
          </w:tcPr>
          <w:p>
            <w:pPr>
              <w:pStyle w:val="TableContents"/>
              <w:bidi w:val="0"/>
              <w:spacing w:before="0" w:after="283"/>
              <w:jc w:val="left"/>
              <w:rPr>
                <w:b w:val="false"/>
              </w:rPr>
            </w:pPr>
            <w:r>
              <w:rPr>
                <w:b w:val="false"/>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22,601,690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19,634,319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44,483,210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38,763,527</w:t>
            </w:r>
          </w:p>
        </w:tc>
        <w:tc>
          <w:tcPr>
            <w:tcW w:w="110" w:type="dxa"/>
            <w:tcBorders/>
            <w:shd w:fill="FFFFFF" w:val="clear"/>
            <w:vAlign w:val="center"/>
          </w:tcPr>
          <w:p>
            <w:pPr>
              <w:pStyle w:val="TableContents"/>
              <w:bidi w:val="0"/>
              <w:spacing w:before="0" w:after="283"/>
              <w:jc w:val="left"/>
              <w:rPr/>
            </w:pPr>
            <w:r>
              <w:rPr/>
              <w:t> </w:t>
            </w:r>
            <w:bookmarkStart w:id="97" w:name="xdx_40A_eus-gaap--ResearchAndDevelopment"/>
            <w:bookmarkEnd w:id="97"/>
          </w:p>
        </w:tc>
      </w:tr>
      <w:tr>
        <w:trPr/>
        <w:tc>
          <w:tcPr>
            <w:tcW w:w="4610" w:type="dxa"/>
            <w:tcBorders/>
            <w:shd w:fill="CCEEFF" w:val="clear"/>
            <w:vAlign w:val="center"/>
          </w:tcPr>
          <w:p>
            <w:pPr>
              <w:pStyle w:val="TableContents"/>
              <w:bidi w:val="0"/>
              <w:spacing w:before="0" w:after="283"/>
              <w:jc w:val="left"/>
              <w:rPr>
                <w:b w:val="false"/>
              </w:rPr>
            </w:pPr>
            <w:r>
              <w:rPr>
                <w:b w:val="false"/>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1,154,232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1,056,796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1,913,824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2,007,155</w:t>
            </w:r>
          </w:p>
        </w:tc>
        <w:tc>
          <w:tcPr>
            <w:tcW w:w="110" w:type="dxa"/>
            <w:tcBorders/>
            <w:shd w:fill="CCEEFF" w:val="clear"/>
            <w:vAlign w:val="center"/>
          </w:tcPr>
          <w:p>
            <w:pPr>
              <w:pStyle w:val="TableContents"/>
              <w:bidi w:val="0"/>
              <w:spacing w:before="0" w:after="283"/>
              <w:jc w:val="left"/>
              <w:rPr/>
            </w:pPr>
            <w:r>
              <w:rPr/>
              <w:t> </w:t>
            </w:r>
            <w:bookmarkStart w:id="98" w:name="xdx_400_eus-gaap--DepreciationAndAmortiz"/>
            <w:bookmarkEnd w:id="98"/>
          </w:p>
        </w:tc>
      </w:tr>
      <w:tr>
        <w:trPr/>
        <w:tc>
          <w:tcPr>
            <w:tcW w:w="4610" w:type="dxa"/>
            <w:tcBorders/>
            <w:shd w:fill="FFFFFF" w:val="clear"/>
            <w:vAlign w:val="center"/>
          </w:tcPr>
          <w:p>
            <w:pPr>
              <w:pStyle w:val="TableContents"/>
              <w:bidi w:val="0"/>
              <w:spacing w:before="0" w:after="283"/>
              <w:jc w:val="left"/>
              <w:rPr>
                <w:b w:val="false"/>
              </w:rPr>
            </w:pPr>
            <w:r>
              <w:rPr>
                <w:b w:val="false"/>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619,111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688,546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1,206,363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1,382,578</w:t>
            </w:r>
          </w:p>
        </w:tc>
        <w:tc>
          <w:tcPr>
            <w:tcW w:w="110" w:type="dxa"/>
            <w:tcBorders/>
            <w:shd w:fill="FFFFFF" w:val="clear"/>
            <w:vAlign w:val="center"/>
          </w:tcPr>
          <w:p>
            <w:pPr>
              <w:pStyle w:val="TableContents"/>
              <w:bidi w:val="0"/>
              <w:spacing w:before="0" w:after="283"/>
              <w:jc w:val="left"/>
              <w:rPr/>
            </w:pPr>
            <w:r>
              <w:rPr/>
              <w:t> </w:t>
            </w:r>
            <w:bookmarkStart w:id="99" w:name="xdx_400_eus-gaap--OperatingExpenses_i01T"/>
            <w:bookmarkEnd w:id="99"/>
          </w:p>
        </w:tc>
      </w:tr>
      <w:tr>
        <w:trPr/>
        <w:tc>
          <w:tcPr>
            <w:tcW w:w="461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24,375,033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21,379,661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47,603,397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42,153,260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 w:name="xdx_403_eus-gaap--OperatingIncomeLoss_iT"/>
            <w:bookmarkEnd w:id="100"/>
          </w:p>
        </w:tc>
      </w:tr>
      <w:tr>
        <w:trPr/>
        <w:tc>
          <w:tcPr>
            <w:tcW w:w="4610" w:type="dxa"/>
            <w:tcBorders/>
            <w:shd w:fill="CCEEFF" w:val="clear"/>
            <w:vAlign w:val="center"/>
          </w:tcPr>
          <w:p>
            <w:pPr>
              <w:pStyle w:val="TableContents"/>
              <w:bidi w:val="0"/>
              <w:spacing w:before="0" w:after="283"/>
              <w:jc w:val="left"/>
              <w:rPr>
                <w:b/>
              </w:rPr>
            </w:pPr>
            <w:r>
              <w:rPr>
                <w:b/>
              </w:rPr>
              <w:t>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1,780,377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4,426,958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3,312,839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1" w:name="xdx_409_eus-gaap--OtherNonoperatingIncom"/>
            <w:bookmarkEnd w:id="101"/>
          </w:p>
        </w:tc>
      </w:tr>
      <w:tr>
        <w:trPr/>
        <w:tc>
          <w:tcPr>
            <w:tcW w:w="4610"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 w:name="xdx_405_eus-gaap--InterestExpense_i01N_d"/>
            <w:bookmarkEnd w:id="102"/>
          </w:p>
        </w:tc>
      </w:tr>
      <w:tr>
        <w:trPr/>
        <w:tc>
          <w:tcPr>
            <w:tcW w:w="4610" w:type="dxa"/>
            <w:tcBorders/>
            <w:shd w:fill="FFFFFF" w:val="clear"/>
            <w:vAlign w:val="center"/>
          </w:tcPr>
          <w:p>
            <w:pPr>
              <w:pStyle w:val="TableContents"/>
              <w:bidi w:val="0"/>
              <w:spacing w:before="0" w:after="283"/>
              <w:jc w:val="left"/>
              <w:rPr>
                <w:b w:val="false"/>
              </w:rPr>
            </w:pPr>
            <w:r>
              <w:rPr>
                <w:b w:val="false"/>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(1,810,311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(1,791,568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(3,609,656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(3,108,660</w:t>
            </w:r>
          </w:p>
        </w:tc>
        <w:tc>
          <w:tcPr>
            <w:tcW w:w="110" w:type="dxa"/>
            <w:tcBorders/>
            <w:shd w:fill="FFFFFF" w:val="clear"/>
            <w:vAlign w:val="center"/>
          </w:tcPr>
          <w:p>
            <w:pPr>
              <w:pStyle w:val="TableContents"/>
              <w:bidi w:val="0"/>
              <w:spacing w:before="0" w:after="283"/>
              <w:jc w:val="left"/>
              <w:rPr/>
            </w:pPr>
            <w:r>
              <w:rPr/>
              <w:t>)</w:t>
            </w:r>
            <w:bookmarkStart w:id="103" w:name="xdx_40F_eus-gaap--IncomeLossFromEquityMe"/>
            <w:bookmarkEnd w:id="103"/>
          </w:p>
        </w:tc>
      </w:tr>
      <w:tr>
        <w:trPr/>
        <w:tc>
          <w:tcPr>
            <w:tcW w:w="4610" w:type="dxa"/>
            <w:tcBorders/>
            <w:shd w:fill="CCEEFF" w:val="clear"/>
            <w:vAlign w:val="center"/>
          </w:tcPr>
          <w:p>
            <w:pPr>
              <w:pStyle w:val="TableContents"/>
              <w:bidi w:val="0"/>
              <w:spacing w:before="0" w:after="283"/>
              <w:jc w:val="left"/>
              <w:rPr>
                <w:b w:val="false"/>
              </w:rPr>
            </w:pPr>
            <w:r>
              <w:rPr>
                <w:b w:val="false"/>
              </w:rPr>
              <w:t>Share of losses from 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(433,648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(896,155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(339,090</w:t>
            </w:r>
          </w:p>
        </w:tc>
        <w:tc>
          <w:tcPr>
            <w:tcW w:w="110" w:type="dxa"/>
            <w:tcBorders/>
            <w:shd w:fill="CCEEFF" w:val="clear"/>
            <w:vAlign w:val="center"/>
          </w:tcPr>
          <w:p>
            <w:pPr>
              <w:pStyle w:val="TableContents"/>
              <w:bidi w:val="0"/>
              <w:spacing w:before="0" w:after="283"/>
              <w:jc w:val="left"/>
              <w:rPr/>
            </w:pPr>
            <w:r>
              <w:rPr/>
              <w:t>)</w:t>
            </w:r>
            <w:bookmarkStart w:id="104" w:name="xdx_409_eus-gaap--InterestIncomeOther_i0"/>
            <w:bookmarkEnd w:id="104"/>
          </w:p>
        </w:tc>
      </w:tr>
      <w:tr>
        <w:trPr/>
        <w:tc>
          <w:tcPr>
            <w:tcW w:w="4610" w:type="dxa"/>
            <w:tcBorders/>
            <w:shd w:fill="FFFFFF" w:val="clear"/>
            <w:vAlign w:val="center"/>
          </w:tcPr>
          <w:p>
            <w:pPr>
              <w:pStyle w:val="TableContents"/>
              <w:bidi w:val="0"/>
              <w:spacing w:before="0" w:after="283"/>
              <w:jc w:val="left"/>
              <w:rPr>
                <w:b w:val="false"/>
              </w:rPr>
            </w:pPr>
            <w:r>
              <w:rPr>
                <w:b w:val="false"/>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3,672</w:t>
            </w:r>
          </w:p>
        </w:tc>
        <w:tc>
          <w:tcPr>
            <w:tcW w:w="110" w:type="dxa"/>
            <w:tcBorders/>
            <w:shd w:fill="FFFFFF" w:val="clear"/>
            <w:vAlign w:val="center"/>
          </w:tcPr>
          <w:p>
            <w:pPr>
              <w:pStyle w:val="TableContents"/>
              <w:bidi w:val="0"/>
              <w:spacing w:before="0" w:after="283"/>
              <w:jc w:val="left"/>
              <w:rPr/>
            </w:pPr>
            <w:r>
              <w:rPr/>
              <w:t> </w:t>
            </w:r>
            <w:bookmarkStart w:id="105" w:name="xdx_40E_eus-gaap--GainLossOnSaleOfProper"/>
            <w:bookmarkEnd w:id="105"/>
          </w:p>
        </w:tc>
      </w:tr>
      <w:tr>
        <w:trPr/>
        <w:tc>
          <w:tcPr>
            <w:tcW w:w="4610" w:type="dxa"/>
            <w:tcBorders/>
            <w:shd w:fill="CCEEFF" w:val="clear"/>
            <w:vAlign w:val="center"/>
          </w:tcPr>
          <w:p>
            <w:pPr>
              <w:pStyle w:val="TableContents"/>
              <w:bidi w:val="0"/>
              <w:spacing w:before="0" w:after="283"/>
              <w:jc w:val="left"/>
              <w:rPr>
                <w:b w:val="false"/>
              </w:rPr>
            </w:pPr>
            <w:r>
              <w:rPr>
                <w:b w:val="false"/>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10,932</w:t>
            </w:r>
          </w:p>
        </w:tc>
        <w:tc>
          <w:tcPr>
            <w:tcW w:w="110" w:type="dxa"/>
            <w:tcBorders/>
            <w:shd w:fill="CCEEFF" w:val="clear"/>
            <w:vAlign w:val="center"/>
          </w:tcPr>
          <w:p>
            <w:pPr>
              <w:pStyle w:val="TableContents"/>
              <w:bidi w:val="0"/>
              <w:spacing w:before="0" w:after="283"/>
              <w:jc w:val="left"/>
              <w:rPr/>
            </w:pPr>
            <w:r>
              <w:rPr/>
              <w:t> </w:t>
            </w:r>
            <w:bookmarkStart w:id="106" w:name="xdx_409_eus-gaap--OtherNonoperatingIncom"/>
            <w:bookmarkEnd w:id="106"/>
          </w:p>
        </w:tc>
      </w:tr>
      <w:tr>
        <w:trPr/>
        <w:tc>
          <w:tcPr>
            <w:tcW w:w="4610" w:type="dxa"/>
            <w:tcBorders/>
            <w:shd w:fill="FFFFFF" w:val="clear"/>
            <w:vAlign w:val="center"/>
          </w:tcPr>
          <w:p>
            <w:pPr>
              <w:pStyle w:val="TableContents"/>
              <w:bidi w:val="0"/>
              <w:spacing w:before="0" w:after="283"/>
              <w:jc w:val="left"/>
              <w:rPr>
                <w:b/>
              </w:rPr>
            </w:pPr>
            <w:r>
              <w:rPr>
                <w:b/>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(2,191,521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(1,987,050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(4,440,415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(3,433,146</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7" w:name="xdx_401_eus-gaap--IncomeLossFromContinui"/>
            <w:bookmarkEnd w:id="107"/>
          </w:p>
        </w:tc>
      </w:tr>
      <w:tr>
        <w:trPr/>
        <w:tc>
          <w:tcPr>
            <w:tcW w:w="4610" w:type="dxa"/>
            <w:tcBorders/>
            <w:shd w:fill="FFFFFF" w:val="clear"/>
            <w:vAlign w:val="center"/>
          </w:tcPr>
          <w:p>
            <w:pPr>
              <w:pStyle w:val="TableContents"/>
              <w:bidi w:val="0"/>
              <w:spacing w:before="0" w:after="283"/>
              <w:jc w:val="left"/>
              <w:rPr>
                <w:b/>
              </w:rPr>
            </w:pPr>
            <w:r>
              <w:rPr>
                <w:b/>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(411,144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500,259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(13,457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(120,307</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8" w:name="xdx_400_eus-gaap--IncomeLossFromDisconti"/>
            <w:bookmarkEnd w:id="108"/>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from discontinued operations (Note 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(41,720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(2,518,657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(5,425,474</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9" w:name="xdx_401_eus-gaap--ProfitLoss_iT_mtPLzdY5"/>
            <w:bookmarkEnd w:id="109"/>
          </w:p>
        </w:tc>
      </w:tr>
      <w:tr>
        <w:trPr/>
        <w:tc>
          <w:tcPr>
            <w:tcW w:w="4610"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(452,864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(2,018,398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5,739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(5,545,781</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 w:name="xdx_40E_eus-gaap--NetIncomeLossAttributa"/>
            <w:bookmarkEnd w:id="110"/>
          </w:p>
        </w:tc>
      </w:tr>
      <w:tr>
        <w:trPr/>
        <w:tc>
          <w:tcPr>
            <w:tcW w:w="4610" w:type="dxa"/>
            <w:tcBorders/>
            <w:shd w:fill="FFFFFF" w:val="clear"/>
            <w:vAlign w:val="center"/>
          </w:tcPr>
          <w:p>
            <w:pPr>
              <w:pStyle w:val="TableContents"/>
              <w:bidi w:val="0"/>
              <w:spacing w:before="0" w:after="283"/>
              <w:jc w:val="left"/>
              <w:rPr>
                <w:b w:val="false"/>
              </w:rPr>
            </w:pPr>
            <w:r>
              <w:rPr>
                <w:b w:val="false"/>
              </w:rPr>
              <w:t>Less: Net loss attributable to noncontrolling interest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(4,242</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 w:name="xdx_401_eus-gaap--NetIncomeLoss_iT_mtNIL"/>
            <w:bookmarkEnd w:id="111"/>
          </w:p>
        </w:tc>
      </w:tr>
      <w:tr>
        <w:trPr/>
        <w:tc>
          <w:tcPr>
            <w:tcW w:w="4610" w:type="dxa"/>
            <w:tcBorders/>
            <w:shd w:fill="FFFFFF" w:val="clear"/>
            <w:vAlign w:val="center"/>
          </w:tcPr>
          <w:p>
            <w:pPr>
              <w:pStyle w:val="TableContents"/>
              <w:bidi w:val="0"/>
              <w:spacing w:before="0" w:after="283"/>
              <w:jc w:val="left"/>
              <w:rPr>
                <w:b/>
              </w:rPr>
            </w:pPr>
            <w:r>
              <w:rPr>
                <w:b/>
              </w:rPr>
              <w:t>Net income (loss) attributable to Sanara MedTech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(452,864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(2,014,362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(5,541,539</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 w:name="xdx_409_eus-gaap--EarningsPerShareBasicA"/>
            <w:bookmarkEnd w:id="112"/>
          </w:p>
        </w:tc>
      </w:tr>
      <w:tr>
        <w:trPr/>
        <w:tc>
          <w:tcPr>
            <w:tcW w:w="4610" w:type="dxa"/>
            <w:tcBorders/>
            <w:shd w:fill="FFFFFF" w:val="clear"/>
            <w:vAlign w:val="center"/>
          </w:tcPr>
          <w:p>
            <w:pPr>
              <w:pStyle w:val="TableContents"/>
              <w:bidi w:val="0"/>
              <w:spacing w:before="0" w:after="283"/>
              <w:jc w:val="left"/>
              <w:rPr>
                <w:b/>
              </w:rPr>
            </w:pPr>
            <w:r>
              <w:rPr>
                <w:b/>
              </w:rPr>
              <w:t>Net income (loss) per share,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3" w:name="xdx_405_eus-gaap--IncomeLossFromContinui"/>
            <w:bookmarkEnd w:id="113"/>
          </w:p>
        </w:tc>
      </w:tr>
      <w:tr>
        <w:trPr/>
        <w:tc>
          <w:tcPr>
            <w:tcW w:w="461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(0.01</w:t>
            </w:r>
          </w:p>
        </w:tc>
        <w:tc>
          <w:tcPr>
            <w:tcW w:w="110" w:type="dxa"/>
            <w:tcBorders/>
            <w:shd w:fill="CCEEFF" w:val="clear"/>
            <w:vAlign w:val="center"/>
          </w:tcPr>
          <w:p>
            <w:pPr>
              <w:pStyle w:val="TableContents"/>
              <w:bidi w:val="0"/>
              <w:spacing w:before="0" w:after="283"/>
              <w:jc w:val="left"/>
              <w:rPr/>
            </w:pPr>
            <w:r>
              <w:rPr/>
              <w:t>)</w:t>
            </w:r>
            <w:bookmarkStart w:id="114" w:name="xdx_407_eus-gaap--IncomeLossFromDisconti"/>
            <w:bookmarkEnd w:id="114"/>
          </w:p>
        </w:tc>
      </w:tr>
      <w:tr>
        <w:trPr/>
        <w:tc>
          <w:tcPr>
            <w:tcW w:w="4610"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(0.63</w:t>
            </w:r>
          </w:p>
        </w:tc>
        <w:tc>
          <w:tcPr>
            <w:tcW w:w="110" w:type="dxa"/>
            <w:tcBorders/>
            <w:shd w:fill="FFFFFF" w:val="clear"/>
            <w:vAlign w:val="center"/>
          </w:tcPr>
          <w:p>
            <w:pPr>
              <w:pStyle w:val="TableContents"/>
              <w:bidi w:val="0"/>
              <w:spacing w:before="0" w:after="283"/>
              <w:jc w:val="left"/>
              <w:rPr/>
            </w:pPr>
            <w:r>
              <w:rPr/>
              <w:t>)</w:t>
            </w:r>
            <w:bookmarkStart w:id="115" w:name="xdx_40F_eus-gaap--EarningsPerShareBasic_"/>
            <w:bookmarkEnd w:id="115"/>
          </w:p>
        </w:tc>
      </w:tr>
      <w:tr>
        <w:trPr/>
        <w:tc>
          <w:tcPr>
            <w:tcW w:w="4610" w:type="dxa"/>
            <w:tcBorders/>
            <w:shd w:fill="CCEEFF" w:val="clear"/>
            <w:vAlign w:val="center"/>
          </w:tcPr>
          <w:p>
            <w:pPr>
              <w:pStyle w:val="TableContents"/>
              <w:bidi w:val="0"/>
              <w:spacing w:before="0" w:after="283"/>
              <w:jc w:val="left"/>
              <w:rPr/>
            </w:pPr>
            <w:r>
              <w:rPr/>
              <w:t>Net income (loss) per share of common stock,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(0.64</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6" w:name="xdx_409_eus-gaap--EarningsPerShareDilute"/>
            <w:bookmarkEnd w:id="116"/>
          </w:p>
        </w:tc>
      </w:tr>
      <w:tr>
        <w:trPr/>
        <w:tc>
          <w:tcPr>
            <w:tcW w:w="4610" w:type="dxa"/>
            <w:tcBorders/>
            <w:shd w:fill="CCEEFF" w:val="clear"/>
            <w:vAlign w:val="center"/>
          </w:tcPr>
          <w:p>
            <w:pPr>
              <w:pStyle w:val="TableContents"/>
              <w:bidi w:val="0"/>
              <w:spacing w:before="0" w:after="283"/>
              <w:jc w:val="left"/>
              <w:rPr>
                <w:b/>
              </w:rPr>
            </w:pPr>
            <w:r>
              <w:rPr>
                <w:b/>
              </w:rPr>
              <w:t>Net income (loss) per share,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7" w:name="xdx_40B_eus-gaap--IncomeLossFromContinui"/>
            <w:bookmarkEnd w:id="117"/>
          </w:p>
        </w:tc>
      </w:tr>
      <w:tr>
        <w:trPr/>
        <w:tc>
          <w:tcPr>
            <w:tcW w:w="461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(0.01</w:t>
            </w:r>
          </w:p>
        </w:tc>
        <w:tc>
          <w:tcPr>
            <w:tcW w:w="110" w:type="dxa"/>
            <w:tcBorders/>
            <w:shd w:fill="FFFFFF" w:val="clear"/>
            <w:vAlign w:val="center"/>
          </w:tcPr>
          <w:p>
            <w:pPr>
              <w:pStyle w:val="TableContents"/>
              <w:bidi w:val="0"/>
              <w:spacing w:before="0" w:after="283"/>
              <w:jc w:val="left"/>
              <w:rPr/>
            </w:pPr>
            <w:r>
              <w:rPr/>
              <w:t>)</w:t>
            </w:r>
            <w:bookmarkStart w:id="118" w:name="xdx_406_eus-gaap--IncomeLossFromDisconti"/>
            <w:bookmarkEnd w:id="118"/>
          </w:p>
        </w:tc>
      </w:tr>
      <w:tr>
        <w:trPr/>
        <w:tc>
          <w:tcPr>
            <w:tcW w:w="461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(0.63</w:t>
            </w:r>
          </w:p>
        </w:tc>
        <w:tc>
          <w:tcPr>
            <w:tcW w:w="110" w:type="dxa"/>
            <w:tcBorders/>
            <w:shd w:fill="CCEEFF" w:val="clear"/>
            <w:vAlign w:val="center"/>
          </w:tcPr>
          <w:p>
            <w:pPr>
              <w:pStyle w:val="TableContents"/>
              <w:bidi w:val="0"/>
              <w:spacing w:before="0" w:after="283"/>
              <w:jc w:val="left"/>
              <w:rPr/>
            </w:pPr>
            <w:r>
              <w:rPr/>
              <w:t>)</w:t>
            </w:r>
            <w:bookmarkStart w:id="119" w:name="xdx_40B_eus-gaap--EarningsPerShareDilute"/>
            <w:bookmarkEnd w:id="119"/>
          </w:p>
        </w:tc>
      </w:tr>
      <w:tr>
        <w:trPr/>
        <w:tc>
          <w:tcPr>
            <w:tcW w:w="4610" w:type="dxa"/>
            <w:tcBorders/>
            <w:shd w:fill="FFFFFF" w:val="clear"/>
            <w:vAlign w:val="center"/>
          </w:tcPr>
          <w:p>
            <w:pPr>
              <w:pStyle w:val="TableContents"/>
              <w:bidi w:val="0"/>
              <w:spacing w:before="0" w:after="283"/>
              <w:jc w:val="left"/>
              <w:rPr/>
            </w:pPr>
            <w:r>
              <w:rPr/>
              <w:t>Net income (loss) per share of common stock,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(0.64</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0" w:name="xdx_40E_eus-gaap--WeightedAverageNumberO"/>
            <w:bookmarkEnd w:id="120"/>
          </w:p>
        </w:tc>
      </w:tr>
      <w:tr>
        <w:trPr/>
        <w:tc>
          <w:tcPr>
            <w:tcW w:w="4610" w:type="dxa"/>
            <w:tcBorders/>
            <w:shd w:fill="FFFFFF" w:val="clear"/>
            <w:vAlign w:val="center"/>
          </w:tcPr>
          <w:p>
            <w:pPr>
              <w:pStyle w:val="TableContents"/>
              <w:bidi w:val="0"/>
              <w:spacing w:before="0" w:after="283"/>
              <w:jc w:val="left"/>
              <w:rPr/>
            </w:pPr>
            <w:r>
              <w:rPr/>
              <w:t>Weighted average number of common shares outstanding,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8,662,671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8,612,986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8,732,849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8,591,663</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1" w:name="xdx_409_eus-gaap--WeightedAverageNumberO"/>
            <w:bookmarkEnd w:id="121"/>
          </w:p>
        </w:tc>
      </w:tr>
      <w:tr>
        <w:trPr/>
        <w:tc>
          <w:tcPr>
            <w:tcW w:w="4610" w:type="dxa"/>
            <w:tcBorders/>
            <w:shd w:fill="FFFFFF" w:val="clear"/>
            <w:vAlign w:val="center"/>
          </w:tcPr>
          <w:p>
            <w:pPr>
              <w:pStyle w:val="TableContents"/>
              <w:bidi w:val="0"/>
              <w:spacing w:before="0" w:after="283"/>
              <w:jc w:val="left"/>
              <w:rPr/>
            </w:pPr>
            <w:r>
              <w:rPr/>
              <w:t>Weighted average number of common shares outstanding,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8,662,671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8,927,060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8,732,849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8,591,663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2" w:name="sp_005"/>
      <w:bookmarkEnd w:id="122"/>
      <w:r>
        <w:rPr>
          <w:rFonts w:ascii="Times New Roman;Times;Serif" w:hAnsi="Times New Roman;Times;Serif"/>
          <w:b/>
          <w:i w:val="false"/>
          <w:caps w:val="false"/>
          <w:smallCaps w:val="false"/>
          <w:sz w:val="20"/>
        </w:rPr>
        <w:t>CONSOLIDATED STATEMENTS OF CHANGES IN SHAREHOLDERS’ EQUITY (UNAUDITED)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3" w:name="xdx_30F_114_z2fUDQlHMGyb"/>
      <w:bookmarkStart w:id="124" w:name="xdx_30F_114_z2fUDQlHMGyb"/>
      <w:bookmarkEnd w:id="124"/>
    </w:p>
    <w:tbl>
      <w:tblPr>
        <w:tblW w:w="10205" w:type="dxa"/>
        <w:jc w:val="left"/>
        <w:tblInd w:w="0" w:type="dxa"/>
        <w:tblLayout w:type="fixed"/>
        <w:tblCellMar>
          <w:top w:w="0" w:type="dxa"/>
          <w:left w:w="0" w:type="dxa"/>
          <w:bottom w:w="0" w:type="dxa"/>
          <w:right w:w="0" w:type="dxa"/>
        </w:tblCellMar>
      </w:tblPr>
      <w:tblGrid>
        <w:gridCol w:w="1895"/>
        <w:gridCol w:w="60"/>
        <w:gridCol w:w="60"/>
        <w:gridCol w:w="980"/>
        <w:gridCol w:w="95"/>
        <w:gridCol w:w="60"/>
        <w:gridCol w:w="172"/>
        <w:gridCol w:w="688"/>
        <w:gridCol w:w="95"/>
        <w:gridCol w:w="60"/>
        <w:gridCol w:w="140"/>
        <w:gridCol w:w="1100"/>
        <w:gridCol w:w="95"/>
        <w:gridCol w:w="60"/>
        <w:gridCol w:w="140"/>
        <w:gridCol w:w="1175"/>
        <w:gridCol w:w="95"/>
        <w:gridCol w:w="60"/>
        <w:gridCol w:w="180"/>
        <w:gridCol w:w="1130"/>
        <w:gridCol w:w="95"/>
        <w:gridCol w:w="60"/>
        <w:gridCol w:w="140"/>
        <w:gridCol w:w="1460"/>
        <w:gridCol w:w="110"/>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5" w:name="xdx_4BE_us-gaap--StatementEquityComponen"/>
            <w:bookmarkEnd w:id="12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6" w:name="xdx_4B3_us-gaap--StatementEquityComponen"/>
            <w:bookmarkEnd w:id="126"/>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Capital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7" w:name="xdx_4B8_us-gaap--StatementEquityComponen"/>
            <w:bookmarkEnd w:id="127"/>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Deficit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8" w:name="xdx_4BA_us-gaap--StatementEquityComponen"/>
            <w:bookmarkEnd w:id="128"/>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Interest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9" w:name="xdx_4B4_zaSFCz8mswel"/>
            <w:bookmarkEnd w:id="129"/>
          </w:p>
        </w:tc>
        <w:tc>
          <w:tcPr>
            <w:tcW w:w="16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center"/>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$0.001 par value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110" w:type="dxa"/>
            <w:tcBorders/>
            <w:vAlign w:val="center"/>
          </w:tcPr>
          <w:p>
            <w:pPr>
              <w:pStyle w:val="TableContents"/>
              <w:bidi w:val="0"/>
              <w:spacing w:before="0" w:after="283"/>
              <w:jc w:val="center"/>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Capital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Deficit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Interest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center"/>
              <w:rPr/>
            </w:pPr>
            <w:r>
              <w:rPr/>
              <w:t> </w:t>
            </w:r>
            <w:bookmarkStart w:id="130" w:name="xdx_43E_c20250101__20250331_eus-gaap--St"/>
            <w:bookmarkEnd w:id="130"/>
          </w:p>
        </w:tc>
      </w:tr>
      <w:tr>
        <w:trPr/>
        <w:tc>
          <w:tcPr>
            <w:tcW w:w="189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3_eus-gaap--SharesOutstanding_iS_p"/>
            <w:bookmarkEnd w:id="131"/>
          </w:p>
        </w:tc>
        <w:tc>
          <w:tcPr>
            <w:tcW w:w="980" w:type="dxa"/>
            <w:tcBorders/>
            <w:shd w:fill="CCEEFF" w:val="clear"/>
            <w:vAlign w:val="center"/>
          </w:tcPr>
          <w:p>
            <w:pPr>
              <w:pStyle w:val="TableContents"/>
              <w:bidi w:val="0"/>
              <w:spacing w:before="0" w:after="283"/>
              <w:jc w:val="right"/>
              <w:rPr/>
            </w:pPr>
            <w:r>
              <w:rPr/>
              <w:t>8,753,773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8,754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77,179,211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(37,784,392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(491,611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38,911,962</w:t>
            </w:r>
          </w:p>
        </w:tc>
        <w:tc>
          <w:tcPr>
            <w:tcW w:w="110" w:type="dxa"/>
            <w:tcBorders/>
            <w:shd w:fill="CCEEFF" w:val="clear"/>
            <w:vAlign w:val="center"/>
          </w:tcPr>
          <w:p>
            <w:pPr>
              <w:pStyle w:val="TableContents"/>
              <w:bidi w:val="0"/>
              <w:spacing w:before="0" w:after="283"/>
              <w:jc w:val="left"/>
              <w:rPr/>
            </w:pPr>
            <w:r>
              <w:rPr/>
              <w:t> </w:t>
            </w:r>
            <w:bookmarkStart w:id="132" w:name="xdx_408_eus-gaap--StockIssuedDuringPerio"/>
            <w:bookmarkEnd w:id="132"/>
          </w:p>
        </w:tc>
      </w:tr>
      <w:tr>
        <w:trPr/>
        <w:tc>
          <w:tcPr>
            <w:tcW w:w="189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3" w:name="xdx_98F_eus-gaap--StockIssuedDuringPerio"/>
            <w:bookmarkEnd w:id="133"/>
          </w:p>
        </w:tc>
        <w:tc>
          <w:tcPr>
            <w:tcW w:w="980" w:type="dxa"/>
            <w:tcBorders/>
            <w:shd w:fill="FFFFFF" w:val="clear"/>
            <w:vAlign w:val="center"/>
          </w:tcPr>
          <w:p>
            <w:pPr>
              <w:pStyle w:val="TableContents"/>
              <w:bidi w:val="0"/>
              <w:spacing w:before="0" w:after="283"/>
              <w:jc w:val="right"/>
              <w:rPr/>
            </w:pPr>
            <w:r>
              <w:rPr/>
              <w:t>149,857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1,304,754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1,304,904</w:t>
            </w:r>
          </w:p>
        </w:tc>
        <w:tc>
          <w:tcPr>
            <w:tcW w:w="110" w:type="dxa"/>
            <w:tcBorders/>
            <w:shd w:fill="FFFFFF" w:val="clear"/>
            <w:vAlign w:val="center"/>
          </w:tcPr>
          <w:p>
            <w:pPr>
              <w:pStyle w:val="TableContents"/>
              <w:bidi w:val="0"/>
              <w:spacing w:before="0" w:after="283"/>
              <w:jc w:val="left"/>
              <w:rPr/>
            </w:pPr>
            <w:r>
              <w:rPr/>
              <w:t> </w:t>
            </w:r>
            <w:bookmarkStart w:id="134" w:name="xdx_405_eus-gaap--MinorityInterestPeriod"/>
            <w:bookmarkEnd w:id="134"/>
          </w:p>
        </w:tc>
      </w:tr>
      <w:tr>
        <w:trPr/>
        <w:tc>
          <w:tcPr>
            <w:tcW w:w="1895" w:type="dxa"/>
            <w:tcBorders/>
            <w:shd w:fill="CCEEFF" w:val="clear"/>
            <w:vAlign w:val="center"/>
          </w:tcPr>
          <w:p>
            <w:pPr>
              <w:pStyle w:val="TableContents"/>
              <w:bidi w:val="0"/>
              <w:spacing w:before="0" w:after="283"/>
              <w:jc w:val="left"/>
              <w:rPr/>
            </w:pPr>
            <w:r>
              <w:rPr/>
              <w:t>Change in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(510,292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488,386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(21,906</w:t>
            </w:r>
          </w:p>
        </w:tc>
        <w:tc>
          <w:tcPr>
            <w:tcW w:w="110" w:type="dxa"/>
            <w:tcBorders/>
            <w:shd w:fill="CCEEFF" w:val="clear"/>
            <w:vAlign w:val="center"/>
          </w:tcPr>
          <w:p>
            <w:pPr>
              <w:pStyle w:val="TableContents"/>
              <w:bidi w:val="0"/>
              <w:spacing w:before="0" w:after="283"/>
              <w:jc w:val="left"/>
              <w:rPr/>
            </w:pPr>
            <w:r>
              <w:rPr/>
              <w:t>)</w:t>
            </w:r>
            <w:bookmarkStart w:id="135" w:name="xdx_403_eus-gaap--ProfitLoss_zEbeXnKdk4b"/>
            <w:bookmarkEnd w:id="135"/>
          </w:p>
        </w:tc>
      </w:tr>
      <w:tr>
        <w:trPr/>
        <w:tc>
          <w:tcPr>
            <w:tcW w:w="18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(3,527,177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pPr>
            <w:r>
              <w:rPr/>
              <w:t>(3,527,383</w:t>
            </w:r>
          </w:p>
        </w:tc>
        <w:tc>
          <w:tcPr>
            <w:tcW w:w="110" w:type="dxa"/>
            <w:tcBorders/>
            <w:shd w:fill="FFFFFF" w:val="clear"/>
            <w:vAlign w:val="center"/>
          </w:tcPr>
          <w:p>
            <w:pPr>
              <w:pStyle w:val="TableContents"/>
              <w:bidi w:val="0"/>
              <w:spacing w:before="0" w:after="283"/>
              <w:jc w:val="left"/>
              <w:rPr/>
            </w:pPr>
            <w:r>
              <w:rPr/>
              <w:t>)</w:t>
            </w:r>
            <w:bookmarkStart w:id="136" w:name="xdx_436_c20250401__20250630_eus-gaap--St"/>
            <w:bookmarkEnd w:id="136"/>
          </w:p>
        </w:tc>
      </w:tr>
      <w:tr>
        <w:trPr/>
        <w:tc>
          <w:tcPr>
            <w:tcW w:w="1895" w:type="dxa"/>
            <w:tcBorders/>
            <w:shd w:fill="CCEEFF" w:val="clear"/>
            <w:vAlign w:val="center"/>
          </w:tcPr>
          <w:p>
            <w:pPr>
              <w:pStyle w:val="TableContents"/>
              <w:bidi w:val="0"/>
              <w:spacing w:before="0" w:after="283"/>
              <w:jc w:val="left"/>
              <w:rPr/>
            </w:pPr>
            <w:r>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7" w:name="xdx_981_eus-gaap--SharesOutstanding_iS_p"/>
            <w:bookmarkEnd w:id="137"/>
          </w:p>
        </w:tc>
        <w:tc>
          <w:tcPr>
            <w:tcW w:w="980" w:type="dxa"/>
            <w:tcBorders/>
            <w:shd w:fill="CCEEFF" w:val="clear"/>
            <w:vAlign w:val="center"/>
          </w:tcPr>
          <w:p>
            <w:pPr>
              <w:pStyle w:val="TableContents"/>
              <w:bidi w:val="0"/>
              <w:spacing w:before="0" w:after="283"/>
              <w:jc w:val="right"/>
              <w:rPr/>
            </w:pPr>
            <w:r>
              <w:rPr/>
              <w:t>8,903,630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8,904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77,973,673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(41,311,569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36,667,577</w:t>
            </w:r>
          </w:p>
        </w:tc>
        <w:tc>
          <w:tcPr>
            <w:tcW w:w="110" w:type="dxa"/>
            <w:tcBorders/>
            <w:shd w:fill="CCEEFF" w:val="clear"/>
            <w:vAlign w:val="center"/>
          </w:tcPr>
          <w:p>
            <w:pPr>
              <w:pStyle w:val="TableContents"/>
              <w:bidi w:val="0"/>
              <w:spacing w:before="0" w:after="283"/>
              <w:jc w:val="left"/>
              <w:rPr/>
            </w:pPr>
            <w:r>
              <w:rPr/>
              <w:t> </w:t>
            </w:r>
            <w:bookmarkStart w:id="138" w:name="xdx_408_eus-gaap--StockIssuedDuringPerio"/>
            <w:bookmarkEnd w:id="138"/>
          </w:p>
        </w:tc>
      </w:tr>
      <w:tr>
        <w:trPr/>
        <w:tc>
          <w:tcPr>
            <w:tcW w:w="189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9" w:name="xdx_980_eus-gaap--StockIssuedDuringPerio"/>
            <w:bookmarkEnd w:id="139"/>
          </w:p>
        </w:tc>
        <w:tc>
          <w:tcPr>
            <w:tcW w:w="980" w:type="dxa"/>
            <w:tcBorders/>
            <w:shd w:fill="FFFFFF" w:val="clear"/>
            <w:vAlign w:val="center"/>
          </w:tcPr>
          <w:p>
            <w:pPr>
              <w:pStyle w:val="TableContents"/>
              <w:bidi w:val="0"/>
              <w:spacing w:before="0" w:after="283"/>
              <w:jc w:val="right"/>
              <w:rPr/>
            </w:pPr>
            <w:r>
              <w:rPr/>
              <w:t>20,985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1,435,418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1,435,439</w:t>
            </w:r>
          </w:p>
        </w:tc>
        <w:tc>
          <w:tcPr>
            <w:tcW w:w="110" w:type="dxa"/>
            <w:tcBorders/>
            <w:shd w:fill="FFFFFF" w:val="clear"/>
            <w:vAlign w:val="center"/>
          </w:tcPr>
          <w:p>
            <w:pPr>
              <w:pStyle w:val="TableContents"/>
              <w:bidi w:val="0"/>
              <w:spacing w:before="0" w:after="283"/>
              <w:jc w:val="left"/>
              <w:rPr/>
            </w:pPr>
            <w:r>
              <w:rPr/>
              <w:t> </w:t>
            </w:r>
            <w:bookmarkStart w:id="140" w:name="xdx_403_ecustom--StockIssuedDuringPeriod"/>
            <w:bookmarkEnd w:id="140"/>
          </w:p>
        </w:tc>
      </w:tr>
      <w:tr>
        <w:trPr/>
        <w:tc>
          <w:tcPr>
            <w:tcW w:w="1895" w:type="dxa"/>
            <w:tcBorders/>
            <w:shd w:fill="CCEEFF" w:val="clear"/>
            <w:vAlign w:val="center"/>
          </w:tcPr>
          <w:p>
            <w:pPr>
              <w:pStyle w:val="TableContents"/>
              <w:bidi w:val="0"/>
              <w:spacing w:before="0" w:after="283"/>
              <w:jc w:val="left"/>
              <w:rPr/>
            </w:pPr>
            <w:r>
              <w:rPr/>
              <w:t>Net settlement and retirement of equity-based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1" w:name="xdx_985_ecustom--StockIssuedDuringPeriod"/>
            <w:bookmarkEnd w:id="141"/>
          </w:p>
        </w:tc>
        <w:tc>
          <w:tcPr>
            <w:tcW w:w="980" w:type="dxa"/>
            <w:tcBorders/>
            <w:shd w:fill="CCEEFF" w:val="clear"/>
            <w:vAlign w:val="center"/>
          </w:tcPr>
          <w:p>
            <w:pPr>
              <w:pStyle w:val="TableContents"/>
              <w:bidi w:val="0"/>
              <w:spacing w:before="0" w:after="283"/>
              <w:jc w:val="right"/>
              <w:rPr/>
            </w:pPr>
            <w:r>
              <w:rPr/>
              <w:t>(20,953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(731,010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(692,672</w:t>
            </w:r>
          </w:p>
        </w:tc>
        <w:tc>
          <w:tcPr>
            <w:tcW w:w="110" w:type="dxa"/>
            <w:tcBorders/>
            <w:shd w:fill="CCEEFF" w:val="clear"/>
            <w:vAlign w:val="center"/>
          </w:tcPr>
          <w:p>
            <w:pPr>
              <w:pStyle w:val="TableContents"/>
              <w:bidi w:val="0"/>
              <w:spacing w:before="0" w:after="283"/>
              <w:jc w:val="left"/>
              <w:rPr/>
            </w:pPr>
            <w:r>
              <w:rPr/>
              <w:t>)</w:t>
            </w:r>
            <w:bookmarkStart w:id="142" w:name="xdx_403_eus-gaap--ProfitLoss_zulWty9HboF"/>
            <w:bookmarkEnd w:id="142"/>
          </w:p>
        </w:tc>
      </w:tr>
      <w:tr>
        <w:trPr/>
        <w:tc>
          <w:tcPr>
            <w:tcW w:w="18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(2,014,362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(4,036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pPr>
            <w:r>
              <w:rPr/>
              <w:t>(2,018,398</w:t>
            </w:r>
          </w:p>
        </w:tc>
        <w:tc>
          <w:tcPr>
            <w:tcW w:w="110" w:type="dxa"/>
            <w:tcBorders/>
            <w:shd w:fill="FFFFFF" w:val="clear"/>
            <w:vAlign w:val="center"/>
          </w:tcPr>
          <w:p>
            <w:pPr>
              <w:pStyle w:val="TableContents"/>
              <w:bidi w:val="0"/>
              <w:spacing w:before="0" w:after="283"/>
              <w:jc w:val="left"/>
              <w:rPr/>
            </w:pPr>
            <w:r>
              <w:rPr/>
              <w:t>)</w:t>
            </w:r>
            <w:bookmarkStart w:id="143" w:name="xdx_43B_c20250401__20250630_eus-gaap--St"/>
            <w:bookmarkEnd w:id="143"/>
          </w:p>
        </w:tc>
      </w:tr>
      <w:tr>
        <w:trPr/>
        <w:tc>
          <w:tcPr>
            <w:tcW w:w="1895"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4" w:name="xdx_988_eus-gaap--SharesOutstanding_iE_p"/>
            <w:bookmarkEnd w:id="14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8,903,662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78,678,081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(43,287,572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35,391,946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5"/>
        <w:gridCol w:w="60"/>
        <w:gridCol w:w="60"/>
        <w:gridCol w:w="980"/>
        <w:gridCol w:w="95"/>
        <w:gridCol w:w="60"/>
        <w:gridCol w:w="172"/>
        <w:gridCol w:w="688"/>
        <w:gridCol w:w="95"/>
        <w:gridCol w:w="60"/>
        <w:gridCol w:w="140"/>
        <w:gridCol w:w="1100"/>
        <w:gridCol w:w="95"/>
        <w:gridCol w:w="60"/>
        <w:gridCol w:w="140"/>
        <w:gridCol w:w="1175"/>
        <w:gridCol w:w="95"/>
        <w:gridCol w:w="60"/>
        <w:gridCol w:w="236"/>
        <w:gridCol w:w="1074"/>
        <w:gridCol w:w="95"/>
        <w:gridCol w:w="60"/>
        <w:gridCol w:w="140"/>
        <w:gridCol w:w="1460"/>
        <w:gridCol w:w="110"/>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$0.001 par value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110" w:type="dxa"/>
            <w:tcBorders/>
            <w:vAlign w:val="center"/>
          </w:tcPr>
          <w:p>
            <w:pPr>
              <w:pStyle w:val="TableContents"/>
              <w:bidi w:val="0"/>
              <w:spacing w:before="0" w:after="283"/>
              <w:jc w:val="center"/>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Capital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Deficit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Interest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Equity </w:t>
            </w:r>
          </w:p>
        </w:tc>
        <w:tc>
          <w:tcPr>
            <w:tcW w:w="110" w:type="dxa"/>
            <w:tcBorders/>
            <w:vAlign w:val="center"/>
          </w:tcPr>
          <w:p>
            <w:pPr>
              <w:pStyle w:val="TableContents"/>
              <w:bidi w:val="0"/>
              <w:spacing w:before="0" w:after="283"/>
              <w:jc w:val="center"/>
              <w:rPr/>
            </w:pPr>
            <w:r>
              <w:rPr/>
              <w:t> </w:t>
            </w:r>
            <w:bookmarkStart w:id="145" w:name="xdx_43F_c20260101__20260331_eus-gaap--St"/>
            <w:bookmarkEnd w:id="145"/>
          </w:p>
        </w:tc>
      </w:tr>
      <w:tr>
        <w:trPr/>
        <w:tc>
          <w:tcPr>
            <w:tcW w:w="189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C_eus-gaap--SharesOutstanding_iS_p"/>
            <w:bookmarkEnd w:id="146"/>
          </w:p>
        </w:tc>
        <w:tc>
          <w:tcPr>
            <w:tcW w:w="980" w:type="dxa"/>
            <w:tcBorders/>
            <w:shd w:fill="CCEEFF" w:val="clear"/>
            <w:vAlign w:val="center"/>
          </w:tcPr>
          <w:p>
            <w:pPr>
              <w:pStyle w:val="TableContents"/>
              <w:bidi w:val="0"/>
              <w:spacing w:before="0" w:after="283"/>
              <w:jc w:val="right"/>
              <w:rPr/>
            </w:pPr>
            <w:r>
              <w:rPr/>
              <w:t>8,946,913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8,948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81,232,536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(75,303,042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(8,666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5,929,776</w:t>
            </w:r>
          </w:p>
        </w:tc>
        <w:tc>
          <w:tcPr>
            <w:tcW w:w="110" w:type="dxa"/>
            <w:tcBorders/>
            <w:shd w:fill="CCEEFF" w:val="clear"/>
            <w:vAlign w:val="center"/>
          </w:tcPr>
          <w:p>
            <w:pPr>
              <w:pStyle w:val="TableContents"/>
              <w:bidi w:val="0"/>
              <w:spacing w:before="0" w:after="283"/>
              <w:jc w:val="left"/>
              <w:rPr/>
            </w:pPr>
            <w:r>
              <w:rPr/>
              <w:t> </w:t>
            </w:r>
            <w:bookmarkStart w:id="147" w:name="xdx_407_eus-gaap--StockIssuedDuringPerio"/>
            <w:bookmarkEnd w:id="147"/>
          </w:p>
        </w:tc>
      </w:tr>
      <w:tr>
        <w:trPr/>
        <w:tc>
          <w:tcPr>
            <w:tcW w:w="189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8" w:name="xdx_980_eus-gaap--StockIssuedDuringPerio"/>
            <w:bookmarkEnd w:id="148"/>
          </w:p>
        </w:tc>
        <w:tc>
          <w:tcPr>
            <w:tcW w:w="980" w:type="dxa"/>
            <w:tcBorders/>
            <w:shd w:fill="FFFFFF" w:val="clear"/>
            <w:vAlign w:val="center"/>
          </w:tcPr>
          <w:p>
            <w:pPr>
              <w:pStyle w:val="TableContents"/>
              <w:bidi w:val="0"/>
              <w:spacing w:before="0" w:after="283"/>
              <w:jc w:val="right"/>
              <w:rPr/>
            </w:pPr>
            <w:r>
              <w:rPr/>
              <w:t>238,400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1,028,097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1,028,335</w:t>
            </w:r>
          </w:p>
        </w:tc>
        <w:tc>
          <w:tcPr>
            <w:tcW w:w="110" w:type="dxa"/>
            <w:tcBorders/>
            <w:shd w:fill="FFFFFF" w:val="clear"/>
            <w:vAlign w:val="center"/>
          </w:tcPr>
          <w:p>
            <w:pPr>
              <w:pStyle w:val="TableContents"/>
              <w:bidi w:val="0"/>
              <w:spacing w:before="0" w:after="283"/>
              <w:jc w:val="left"/>
              <w:rPr/>
            </w:pPr>
            <w:r>
              <w:rPr/>
              <w:t> </w:t>
            </w:r>
            <w:bookmarkStart w:id="149" w:name="xdx_403_ecustom--StockIssuedDuringPeriod"/>
            <w:bookmarkEnd w:id="149"/>
          </w:p>
        </w:tc>
      </w:tr>
      <w:tr>
        <w:trPr/>
        <w:tc>
          <w:tcPr>
            <w:tcW w:w="1895" w:type="dxa"/>
            <w:tcBorders/>
            <w:shd w:fill="CCEEFF" w:val="clear"/>
            <w:vAlign w:val="center"/>
          </w:tcPr>
          <w:p>
            <w:pPr>
              <w:pStyle w:val="TableContents"/>
              <w:bidi w:val="0"/>
              <w:spacing w:before="0" w:after="283"/>
              <w:jc w:val="left"/>
              <w:rPr/>
            </w:pPr>
            <w:r>
              <w:rPr/>
              <w:t>Net settlement and retirement of equity-based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0" w:name="xdx_981_ecustom--StockIssuedDuringPeriod"/>
            <w:bookmarkEnd w:id="150"/>
          </w:p>
        </w:tc>
        <w:tc>
          <w:tcPr>
            <w:tcW w:w="980" w:type="dxa"/>
            <w:tcBorders/>
            <w:shd w:fill="CCEEFF" w:val="clear"/>
            <w:vAlign w:val="center"/>
          </w:tcPr>
          <w:p>
            <w:pPr>
              <w:pStyle w:val="TableContents"/>
              <w:bidi w:val="0"/>
              <w:spacing w:before="0" w:after="283"/>
              <w:jc w:val="right"/>
              <w:rPr/>
            </w:pPr>
            <w:r>
              <w:rPr/>
              <w:t>(20,165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(738,389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341,190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(397,219</w:t>
            </w:r>
          </w:p>
        </w:tc>
        <w:tc>
          <w:tcPr>
            <w:tcW w:w="110" w:type="dxa"/>
            <w:tcBorders/>
            <w:shd w:fill="CCEEFF" w:val="clear"/>
            <w:vAlign w:val="center"/>
          </w:tcPr>
          <w:p>
            <w:pPr>
              <w:pStyle w:val="TableContents"/>
              <w:bidi w:val="0"/>
              <w:spacing w:before="0" w:after="283"/>
              <w:jc w:val="left"/>
              <w:rPr/>
            </w:pPr>
            <w:r>
              <w:rPr/>
              <w:t>)</w:t>
            </w:r>
            <w:bookmarkStart w:id="151" w:name="xdx_40B_eus-gaap--ProfitLoss_zHakBrneDou"/>
            <w:bookmarkEnd w:id="151"/>
          </w:p>
        </w:tc>
      </w:tr>
      <w:tr>
        <w:trPr/>
        <w:tc>
          <w:tcPr>
            <w:tcW w:w="189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458,957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pPr>
            <w:r>
              <w:rPr/>
              <w:t>458,603</w:t>
            </w:r>
          </w:p>
        </w:tc>
        <w:tc>
          <w:tcPr>
            <w:tcW w:w="110" w:type="dxa"/>
            <w:tcBorders/>
            <w:shd w:fill="FFFFFF" w:val="clear"/>
            <w:vAlign w:val="center"/>
          </w:tcPr>
          <w:p>
            <w:pPr>
              <w:pStyle w:val="TableContents"/>
              <w:bidi w:val="0"/>
              <w:spacing w:before="0" w:after="283"/>
              <w:jc w:val="left"/>
              <w:rPr/>
            </w:pPr>
            <w:r>
              <w:rPr/>
              <w:t> </w:t>
            </w:r>
            <w:bookmarkStart w:id="152" w:name="xdx_436_c20260401__20260630_eus-gaap--St"/>
            <w:bookmarkEnd w:id="152"/>
          </w:p>
        </w:tc>
      </w:tr>
      <w:tr>
        <w:trPr/>
        <w:tc>
          <w:tcPr>
            <w:tcW w:w="1895"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 w:name="xdx_98E_eus-gaap--SharesOutstanding_iS_p"/>
            <w:bookmarkEnd w:id="153"/>
          </w:p>
        </w:tc>
        <w:tc>
          <w:tcPr>
            <w:tcW w:w="980" w:type="dxa"/>
            <w:tcBorders/>
            <w:shd w:fill="CCEEFF" w:val="clear"/>
            <w:vAlign w:val="center"/>
          </w:tcPr>
          <w:p>
            <w:pPr>
              <w:pStyle w:val="TableContents"/>
              <w:bidi w:val="0"/>
              <w:spacing w:before="0" w:after="283"/>
              <w:jc w:val="right"/>
              <w:rPr/>
            </w:pPr>
            <w:r>
              <w:rPr/>
              <w:t>9,165,148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9,166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81,522,244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(74,502,895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(9,020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7,019,495</w:t>
            </w:r>
          </w:p>
        </w:tc>
        <w:tc>
          <w:tcPr>
            <w:tcW w:w="110" w:type="dxa"/>
            <w:tcBorders/>
            <w:shd w:fill="CCEEFF" w:val="clear"/>
            <w:vAlign w:val="center"/>
          </w:tcPr>
          <w:p>
            <w:pPr>
              <w:pStyle w:val="TableContents"/>
              <w:bidi w:val="0"/>
              <w:spacing w:before="0" w:after="283"/>
              <w:jc w:val="left"/>
              <w:rPr/>
            </w:pPr>
            <w:r>
              <w:rPr/>
              <w:t> </w:t>
            </w:r>
            <w:bookmarkStart w:id="154" w:name="xdx_437_c20260401__20260630_eus-gaap--St"/>
            <w:bookmarkEnd w:id="154"/>
          </w:p>
        </w:tc>
      </w:tr>
      <w:tr>
        <w:trPr/>
        <w:tc>
          <w:tcPr>
            <w:tcW w:w="189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2_eus-gaap--SharesOutstanding_iS_p"/>
            <w:bookmarkEnd w:id="155"/>
          </w:p>
        </w:tc>
        <w:tc>
          <w:tcPr>
            <w:tcW w:w="980" w:type="dxa"/>
            <w:tcBorders/>
            <w:shd w:fill="CCEEFF" w:val="clear"/>
            <w:vAlign w:val="center"/>
          </w:tcPr>
          <w:p>
            <w:pPr>
              <w:pStyle w:val="TableContents"/>
              <w:bidi w:val="0"/>
              <w:spacing w:before="0" w:after="283"/>
              <w:jc w:val="right"/>
              <w:rPr/>
            </w:pPr>
            <w:r>
              <w:rPr/>
              <w:t>9,165,148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9,166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81,522,244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(74,502,895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(9,020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7,019,495</w:t>
            </w:r>
          </w:p>
        </w:tc>
        <w:tc>
          <w:tcPr>
            <w:tcW w:w="110" w:type="dxa"/>
            <w:tcBorders/>
            <w:shd w:fill="CCEEFF" w:val="clear"/>
            <w:vAlign w:val="center"/>
          </w:tcPr>
          <w:p>
            <w:pPr>
              <w:pStyle w:val="TableContents"/>
              <w:bidi w:val="0"/>
              <w:spacing w:before="0" w:after="283"/>
              <w:jc w:val="left"/>
              <w:rPr/>
            </w:pPr>
            <w:r>
              <w:rPr/>
              <w:t> </w:t>
            </w:r>
            <w:bookmarkStart w:id="156" w:name="xdx_407_eus-gaap--StockIssuedDuringPerio"/>
            <w:bookmarkEnd w:id="156"/>
          </w:p>
        </w:tc>
      </w:tr>
      <w:tr>
        <w:trPr/>
        <w:tc>
          <w:tcPr>
            <w:tcW w:w="189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7" w:name="xdx_98D_eus-gaap--StockIssuedDuringPerio"/>
            <w:bookmarkEnd w:id="157"/>
          </w:p>
        </w:tc>
        <w:tc>
          <w:tcPr>
            <w:tcW w:w="980" w:type="dxa"/>
            <w:tcBorders/>
            <w:shd w:fill="FFFFFF" w:val="clear"/>
            <w:vAlign w:val="center"/>
          </w:tcPr>
          <w:p>
            <w:pPr>
              <w:pStyle w:val="TableContents"/>
              <w:bidi w:val="0"/>
              <w:spacing w:before="0" w:after="283"/>
              <w:jc w:val="right"/>
              <w:rPr/>
            </w:pPr>
            <w:r>
              <w:rPr/>
              <w:t>34,268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1,496,276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1,496,310</w:t>
            </w:r>
          </w:p>
        </w:tc>
        <w:tc>
          <w:tcPr>
            <w:tcW w:w="110" w:type="dxa"/>
            <w:tcBorders/>
            <w:shd w:fill="FFFFFF" w:val="clear"/>
            <w:vAlign w:val="center"/>
          </w:tcPr>
          <w:p>
            <w:pPr>
              <w:pStyle w:val="TableContents"/>
              <w:bidi w:val="0"/>
              <w:spacing w:before="0" w:after="283"/>
              <w:jc w:val="left"/>
              <w:rPr/>
            </w:pPr>
            <w:r>
              <w:rPr/>
              <w:t> </w:t>
            </w:r>
            <w:bookmarkStart w:id="158" w:name="xdx_403_ecustom--StockIssuedDuringPeriod"/>
            <w:bookmarkEnd w:id="158"/>
          </w:p>
        </w:tc>
      </w:tr>
      <w:tr>
        <w:trPr/>
        <w:tc>
          <w:tcPr>
            <w:tcW w:w="1895" w:type="dxa"/>
            <w:tcBorders/>
            <w:shd w:fill="CCEEFF" w:val="clear"/>
            <w:vAlign w:val="center"/>
          </w:tcPr>
          <w:p>
            <w:pPr>
              <w:pStyle w:val="TableContents"/>
              <w:bidi w:val="0"/>
              <w:spacing w:before="0" w:after="283"/>
              <w:jc w:val="left"/>
              <w:rPr/>
            </w:pPr>
            <w:r>
              <w:rPr/>
              <w:t>Net settlement and retirement of equity-based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 w:name="xdx_98E_ecustom--StockIssuedDuringPeriod"/>
            <w:bookmarkEnd w:id="159"/>
          </w:p>
        </w:tc>
        <w:tc>
          <w:tcPr>
            <w:tcW w:w="980" w:type="dxa"/>
            <w:tcBorders/>
            <w:shd w:fill="CCEEFF" w:val="clear"/>
            <w:vAlign w:val="center"/>
          </w:tcPr>
          <w:p>
            <w:pPr>
              <w:pStyle w:val="TableContents"/>
              <w:bidi w:val="0"/>
              <w:spacing w:before="0" w:after="283"/>
              <w:jc w:val="right"/>
              <w:rPr/>
            </w:pPr>
            <w:r>
              <w:rPr/>
              <w:t>(6,022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(192,471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(128,481</w:t>
            </w:r>
          </w:p>
        </w:tc>
        <w:tc>
          <w:tcPr>
            <w:tcW w:w="110" w:type="dxa"/>
            <w:tcBorders/>
            <w:shd w:fill="CCEEFF" w:val="clear"/>
            <w:vAlign w:val="center"/>
          </w:tcPr>
          <w:p>
            <w:pPr>
              <w:pStyle w:val="TableContents"/>
              <w:bidi w:val="0"/>
              <w:spacing w:before="0" w:after="283"/>
              <w:jc w:val="left"/>
              <w:rPr/>
            </w:pPr>
            <w:r>
              <w:rPr/>
              <w:t>)</w:t>
            </w:r>
            <w:bookmarkStart w:id="160" w:name="xdx_40B_eus-gaap--ProfitLoss_z9Th5IgJmxw"/>
            <w:bookmarkEnd w:id="160"/>
          </w:p>
        </w:tc>
      </w:tr>
      <w:tr>
        <w:trPr/>
        <w:tc>
          <w:tcPr>
            <w:tcW w:w="18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(452,864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pPr>
            <w:r>
              <w:rPr/>
              <w:t>(452,864</w:t>
            </w:r>
          </w:p>
        </w:tc>
        <w:tc>
          <w:tcPr>
            <w:tcW w:w="110" w:type="dxa"/>
            <w:tcBorders/>
            <w:shd w:fill="FFFFFF" w:val="clear"/>
            <w:vAlign w:val="center"/>
          </w:tcPr>
          <w:p>
            <w:pPr>
              <w:pStyle w:val="TableContents"/>
              <w:bidi w:val="0"/>
              <w:spacing w:before="0" w:after="283"/>
              <w:jc w:val="left"/>
              <w:rPr/>
            </w:pPr>
            <w:r>
              <w:rPr/>
              <w:t>)</w:t>
            </w:r>
            <w:bookmarkStart w:id="161" w:name="xdx_40A_eus-gaap--ProfitLoss_zXFW4OVI8k4"/>
            <w:bookmarkEnd w:id="161"/>
          </w:p>
        </w:tc>
      </w:tr>
      <w:tr>
        <w:trPr/>
        <w:tc>
          <w:tcPr>
            <w:tcW w:w="189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(452,864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pPr>
            <w:r>
              <w:rPr/>
              <w:t>(452,864</w:t>
            </w:r>
          </w:p>
        </w:tc>
        <w:tc>
          <w:tcPr>
            <w:tcW w:w="110" w:type="dxa"/>
            <w:tcBorders/>
            <w:shd w:fill="FFFFFF" w:val="clear"/>
            <w:vAlign w:val="center"/>
          </w:tcPr>
          <w:p>
            <w:pPr>
              <w:pStyle w:val="TableContents"/>
              <w:bidi w:val="0"/>
              <w:spacing w:before="0" w:after="283"/>
              <w:jc w:val="left"/>
              <w:rPr/>
            </w:pPr>
            <w:r>
              <w:rPr/>
              <w:t>)</w:t>
            </w:r>
            <w:bookmarkStart w:id="162" w:name="xdx_437_c20260401__20260630_eus-gaap--St"/>
            <w:bookmarkEnd w:id="162"/>
          </w:p>
        </w:tc>
      </w:tr>
      <w:tr>
        <w:trPr/>
        <w:tc>
          <w:tcPr>
            <w:tcW w:w="1895"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 w:name="xdx_988_eus-gaap--SharesOutstanding_iE_p"/>
            <w:bookmarkEnd w:id="16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9,193,394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82,826,049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(74,891,763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7,934,460</w:t>
            </w:r>
          </w:p>
        </w:tc>
        <w:tc>
          <w:tcPr>
            <w:tcW w:w="110" w:type="dxa"/>
            <w:tcBorders/>
            <w:shd w:fill="CCEEFF" w:val="clear"/>
            <w:vAlign w:val="center"/>
          </w:tcPr>
          <w:p>
            <w:pPr>
              <w:pStyle w:val="TableContents"/>
              <w:bidi w:val="0"/>
              <w:spacing w:before="0" w:after="283"/>
              <w:jc w:val="left"/>
              <w:rPr/>
            </w:pPr>
            <w:r>
              <w:rPr/>
              <w:t> </w:t>
            </w:r>
            <w:bookmarkStart w:id="164" w:name="xdx_43F_c20260401__20260630_eus-gaap--St"/>
            <w:bookmarkEnd w:id="164"/>
          </w:p>
        </w:tc>
      </w:tr>
      <w:tr>
        <w:trPr/>
        <w:tc>
          <w:tcPr>
            <w:tcW w:w="1895"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5" w:name="xdx_984_eus-gaap--SharesOutstanding_iE_p"/>
            <w:bookmarkEnd w:id="16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9,193,394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82,826,049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(74,891,763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7,934,460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6" w:name="sp_006"/>
      <w:bookmarkEnd w:id="166"/>
      <w:r>
        <w:rPr>
          <w:rFonts w:ascii="Times New Roman;Times;Serif" w:hAnsi="Times New Roman;Times;Serif"/>
          <w:b/>
          <w:i w:val="false"/>
          <w:caps w:val="false"/>
          <w:smallCaps w:val="false"/>
          <w:sz w:val="20"/>
        </w:rPr>
        <w:t>CONSOLIDATED STATEMENTS OF CASH FLOWS (UNAUDITED)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7" w:name="xdx_302_112_zxXt9p9eAQH5"/>
      <w:bookmarkStart w:id="168" w:name="xdx_302_112_zxXt9p9eAQH5"/>
      <w:bookmarkEnd w:id="168"/>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 w:name="xdx_49D_20260101__20260630_zFT5yKIp4lPd"/>
            <w:bookmarkEnd w:id="16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0" w:name="xdx_492_20250101__20250630_zX7fOsmyEpW6"/>
            <w:bookmarkEnd w:id="17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71" w:name="xdx_40D_eus-gaap--NetCashProvidedByUsedI"/>
            <w:bookmarkEnd w:id="171"/>
          </w:p>
        </w:tc>
      </w:tr>
      <w:tr>
        <w:trPr/>
        <w:tc>
          <w:tcPr>
            <w:tcW w:w="740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2" w:name="xdx_40F_eus-gaap--ProfitLoss_i01_pp0p0_m"/>
            <w:bookmarkEnd w:id="172"/>
          </w:p>
        </w:tc>
      </w:tr>
      <w:tr>
        <w:trPr/>
        <w:tc>
          <w:tcPr>
            <w:tcW w:w="740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5,739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(5,545,781</w:t>
            </w:r>
          </w:p>
        </w:tc>
        <w:tc>
          <w:tcPr>
            <w:tcW w:w="110" w:type="dxa"/>
            <w:tcBorders/>
            <w:shd w:fill="FFFFFF" w:val="clear"/>
            <w:vAlign w:val="center"/>
          </w:tcPr>
          <w:p>
            <w:pPr>
              <w:pStyle w:val="TableContents"/>
              <w:bidi w:val="0"/>
              <w:spacing w:before="0" w:after="283"/>
              <w:jc w:val="left"/>
              <w:rPr/>
            </w:pPr>
            <w:r>
              <w:rPr/>
              <w:t>)</w:t>
            </w:r>
            <w:bookmarkStart w:id="173" w:name="xdx_403_eus-gaap--AdjustmentsToReconcile"/>
            <w:bookmarkEnd w:id="173"/>
          </w:p>
        </w:tc>
      </w:tr>
      <w:tr>
        <w:trPr/>
        <w:tc>
          <w:tcPr>
            <w:tcW w:w="7400" w:type="dxa"/>
            <w:tcBorders/>
            <w:shd w:fill="CCEEFF" w:val="clear"/>
            <w:vAlign w:val="center"/>
          </w:tcPr>
          <w:p>
            <w:pPr>
              <w:pStyle w:val="TableContents"/>
              <w:bidi w:val="0"/>
              <w:spacing w:before="0" w:after="283"/>
              <w:jc w:val="left"/>
              <w:rPr/>
            </w:pPr>
            <w:r>
              <w:rPr/>
              <w:t>Adjustments to reconcile net income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4" w:name="xdx_401_eus-gaap--DepreciationDepletionA"/>
            <w:bookmarkEnd w:id="174"/>
          </w:p>
        </w:tc>
      </w:tr>
      <w:tr>
        <w:trPr/>
        <w:tc>
          <w:tcPr>
            <w:tcW w:w="7400" w:type="dxa"/>
            <w:tcBorders/>
            <w:shd w:fill="FFFFFF" w:val="clear"/>
            <w:vAlign w:val="center"/>
          </w:tcPr>
          <w:p>
            <w:pPr>
              <w:pStyle w:val="TableContents"/>
              <w:bidi w:val="0"/>
              <w:spacing w:before="0" w:after="283"/>
              <w:jc w:val="left"/>
              <w:rPr>
                <w:b w:val="false"/>
              </w:rPr>
            </w:pPr>
            <w:r>
              <w:rPr>
                <w:b w:val="false"/>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2,238,641</w:t>
            </w:r>
          </w:p>
        </w:tc>
        <w:tc>
          <w:tcPr>
            <w:tcW w:w="110" w:type="dxa"/>
            <w:tcBorders/>
            <w:shd w:fill="FFFFFF" w:val="clear"/>
            <w:vAlign w:val="center"/>
          </w:tcPr>
          <w:p>
            <w:pPr>
              <w:pStyle w:val="TableContents"/>
              <w:bidi w:val="0"/>
              <w:spacing w:before="0" w:after="283"/>
              <w:jc w:val="left"/>
              <w:rPr/>
            </w:pPr>
            <w:r>
              <w:rPr/>
              <w:t> </w:t>
            </w:r>
            <w:bookmarkStart w:id="175" w:name="xdx_40C_eus-gaap--AssetImpairmentCharges"/>
            <w:bookmarkEnd w:id="175"/>
          </w:p>
        </w:tc>
      </w:tr>
      <w:tr>
        <w:trPr/>
        <w:tc>
          <w:tcPr>
            <w:tcW w:w="7400" w:type="dxa"/>
            <w:tcBorders/>
            <w:shd w:fill="CCEEFF" w:val="clear"/>
            <w:vAlign w:val="center"/>
          </w:tcPr>
          <w:p>
            <w:pPr>
              <w:pStyle w:val="TableContents"/>
              <w:bidi w:val="0"/>
              <w:spacing w:before="0" w:after="283"/>
              <w:jc w:val="left"/>
              <w:rPr>
                <w:b w:val="false"/>
              </w:rPr>
            </w:pPr>
            <w:r>
              <w:rPr>
                <w:b w:val="false"/>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(9,674</w:t>
            </w:r>
          </w:p>
        </w:tc>
        <w:tc>
          <w:tcPr>
            <w:tcW w:w="110" w:type="dxa"/>
            <w:tcBorders/>
            <w:shd w:fill="CCEEFF" w:val="clear"/>
            <w:vAlign w:val="center"/>
          </w:tcPr>
          <w:p>
            <w:pPr>
              <w:pStyle w:val="TableContents"/>
              <w:bidi w:val="0"/>
              <w:spacing w:before="0" w:after="283"/>
              <w:jc w:val="left"/>
              <w:rPr/>
            </w:pPr>
            <w:r>
              <w:rPr/>
              <w:t>)</w:t>
            </w:r>
            <w:bookmarkStart w:id="176" w:name="xdx_40F_eus-gaap--ProvisionForDoubtfulAc"/>
            <w:bookmarkEnd w:id="176"/>
          </w:p>
        </w:tc>
      </w:tr>
      <w:tr>
        <w:trPr/>
        <w:tc>
          <w:tcPr>
            <w:tcW w:w="7400" w:type="dxa"/>
            <w:tcBorders/>
            <w:shd w:fill="FFFFFF" w:val="clear"/>
            <w:vAlign w:val="center"/>
          </w:tcPr>
          <w:p>
            <w:pPr>
              <w:pStyle w:val="TableContents"/>
              <w:bidi w:val="0"/>
              <w:spacing w:before="0" w:after="283"/>
              <w:jc w:val="left"/>
              <w:rPr>
                <w:b w:val="false"/>
              </w:rPr>
            </w:pPr>
            <w:r>
              <w:rPr>
                <w:b w:val="false"/>
              </w:rPr>
              <w:t>Credit loss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294,034</w:t>
            </w:r>
          </w:p>
        </w:tc>
        <w:tc>
          <w:tcPr>
            <w:tcW w:w="110" w:type="dxa"/>
            <w:tcBorders/>
            <w:shd w:fill="FFFFFF" w:val="clear"/>
            <w:vAlign w:val="center"/>
          </w:tcPr>
          <w:p>
            <w:pPr>
              <w:pStyle w:val="TableContents"/>
              <w:bidi w:val="0"/>
              <w:spacing w:before="0" w:after="283"/>
              <w:jc w:val="left"/>
              <w:rPr/>
            </w:pPr>
            <w:r>
              <w:rPr/>
              <w:t> </w:t>
            </w:r>
            <w:bookmarkStart w:id="177" w:name="xdx_40C_eus-gaap--InventoryWriteDown_i02"/>
            <w:bookmarkEnd w:id="177"/>
          </w:p>
        </w:tc>
      </w:tr>
      <w:tr>
        <w:trPr/>
        <w:tc>
          <w:tcPr>
            <w:tcW w:w="7400" w:type="dxa"/>
            <w:tcBorders/>
            <w:shd w:fill="CCEEFF" w:val="clear"/>
            <w:vAlign w:val="center"/>
          </w:tcPr>
          <w:p>
            <w:pPr>
              <w:pStyle w:val="TableContents"/>
              <w:bidi w:val="0"/>
              <w:spacing w:before="0" w:after="283"/>
              <w:jc w:val="left"/>
              <w:rPr>
                <w:b w:val="false"/>
              </w:rPr>
            </w:pPr>
            <w:r>
              <w:rPr>
                <w:b w:val="false"/>
              </w:rPr>
              <w:t>Inventory obsolescence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371,957</w:t>
            </w:r>
          </w:p>
        </w:tc>
        <w:tc>
          <w:tcPr>
            <w:tcW w:w="110" w:type="dxa"/>
            <w:tcBorders/>
            <w:shd w:fill="CCEEFF" w:val="clear"/>
            <w:vAlign w:val="center"/>
          </w:tcPr>
          <w:p>
            <w:pPr>
              <w:pStyle w:val="TableContents"/>
              <w:bidi w:val="0"/>
              <w:spacing w:before="0" w:after="283"/>
              <w:jc w:val="left"/>
              <w:rPr/>
            </w:pPr>
            <w:r>
              <w:rPr/>
              <w:t> </w:t>
            </w:r>
            <w:bookmarkStart w:id="178" w:name="xdx_402_eus-gaap--ShareBasedCompensation"/>
            <w:bookmarkEnd w:id="178"/>
          </w:p>
        </w:tc>
      </w:tr>
      <w:tr>
        <w:trPr/>
        <w:tc>
          <w:tcPr>
            <w:tcW w:w="7400" w:type="dxa"/>
            <w:tcBorders/>
            <w:shd w:fill="FFFFFF" w:val="clear"/>
            <w:vAlign w:val="center"/>
          </w:tcPr>
          <w:p>
            <w:pPr>
              <w:pStyle w:val="TableContents"/>
              <w:bidi w:val="0"/>
              <w:spacing w:before="0" w:after="283"/>
              <w:jc w:val="left"/>
              <w:rPr>
                <w:b w:val="false"/>
              </w:rPr>
            </w:pPr>
            <w:r>
              <w:rPr>
                <w:b w:val="false"/>
              </w:rPr>
              <w:t>Share-based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2,524,645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2,740,343</w:t>
            </w:r>
          </w:p>
        </w:tc>
        <w:tc>
          <w:tcPr>
            <w:tcW w:w="110" w:type="dxa"/>
            <w:tcBorders/>
            <w:shd w:fill="FFFFFF" w:val="clear"/>
            <w:vAlign w:val="center"/>
          </w:tcPr>
          <w:p>
            <w:pPr>
              <w:pStyle w:val="TableContents"/>
              <w:bidi w:val="0"/>
              <w:spacing w:before="0" w:after="283"/>
              <w:jc w:val="left"/>
              <w:rPr/>
            </w:pPr>
            <w:r>
              <w:rPr/>
              <w:t> </w:t>
            </w:r>
            <w:bookmarkStart w:id="179" w:name="xdx_403_eus-gaap--OtherNoncashExpense_i0"/>
            <w:bookmarkEnd w:id="179"/>
          </w:p>
        </w:tc>
      </w:tr>
      <w:tr>
        <w:trPr/>
        <w:tc>
          <w:tcPr>
            <w:tcW w:w="7400" w:type="dxa"/>
            <w:tcBorders/>
            <w:shd w:fill="CCEEFF" w:val="clear"/>
            <w:vAlign w:val="center"/>
          </w:tcPr>
          <w:p>
            <w:pPr>
              <w:pStyle w:val="TableContents"/>
              <w:bidi w:val="0"/>
              <w:spacing w:before="0" w:after="283"/>
              <w:jc w:val="left"/>
              <w:rPr>
                <w:b w:val="false"/>
              </w:rPr>
            </w:pPr>
            <w:r>
              <w:rPr>
                <w:b w:val="false"/>
              </w:rPr>
              <w:t>Noncash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359,758</w:t>
            </w:r>
          </w:p>
        </w:tc>
        <w:tc>
          <w:tcPr>
            <w:tcW w:w="110" w:type="dxa"/>
            <w:tcBorders/>
            <w:shd w:fill="CCEEFF" w:val="clear"/>
            <w:vAlign w:val="center"/>
          </w:tcPr>
          <w:p>
            <w:pPr>
              <w:pStyle w:val="TableContents"/>
              <w:bidi w:val="0"/>
              <w:spacing w:before="0" w:after="283"/>
              <w:jc w:val="left"/>
              <w:rPr/>
            </w:pPr>
            <w:r>
              <w:rPr/>
              <w:t> </w:t>
            </w:r>
            <w:bookmarkStart w:id="180" w:name="xdx_40C_eus-gaap--IncomeLossFromEquityMe"/>
            <w:bookmarkEnd w:id="180"/>
          </w:p>
        </w:tc>
      </w:tr>
      <w:tr>
        <w:trPr/>
        <w:tc>
          <w:tcPr>
            <w:tcW w:w="7400" w:type="dxa"/>
            <w:tcBorders/>
            <w:shd w:fill="FFFFFF" w:val="clear"/>
            <w:vAlign w:val="center"/>
          </w:tcPr>
          <w:p>
            <w:pPr>
              <w:pStyle w:val="TableContents"/>
              <w:bidi w:val="0"/>
              <w:spacing w:before="0" w:after="283"/>
              <w:jc w:val="left"/>
              <w:rPr>
                <w:b w:val="false"/>
              </w:rPr>
            </w:pPr>
            <w:r>
              <w:rPr>
                <w:b w:val="false"/>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896,155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339,090</w:t>
            </w:r>
          </w:p>
        </w:tc>
        <w:tc>
          <w:tcPr>
            <w:tcW w:w="110" w:type="dxa"/>
            <w:tcBorders/>
            <w:shd w:fill="FFFFFF" w:val="clear"/>
            <w:vAlign w:val="center"/>
          </w:tcPr>
          <w:p>
            <w:pPr>
              <w:pStyle w:val="TableContents"/>
              <w:bidi w:val="0"/>
              <w:spacing w:before="0" w:after="283"/>
              <w:jc w:val="left"/>
              <w:rPr/>
            </w:pPr>
            <w:r>
              <w:rPr/>
              <w:t> </w:t>
            </w:r>
            <w:bookmarkStart w:id="181" w:name="xdx_403_ecustom--BackendFee_i02_pp0p0_ma"/>
            <w:bookmarkEnd w:id="181"/>
          </w:p>
        </w:tc>
      </w:tr>
      <w:tr>
        <w:trPr/>
        <w:tc>
          <w:tcPr>
            <w:tcW w:w="7400" w:type="dxa"/>
            <w:tcBorders/>
            <w:shd w:fill="CCEEFF" w:val="clear"/>
            <w:vAlign w:val="center"/>
          </w:tcPr>
          <w:p>
            <w:pPr>
              <w:pStyle w:val="TableContents"/>
              <w:bidi w:val="0"/>
              <w:spacing w:before="0" w:after="283"/>
              <w:jc w:val="left"/>
              <w:rPr>
                <w:b w:val="false"/>
              </w:rPr>
            </w:pPr>
            <w:r>
              <w:rPr>
                <w:b w:val="false"/>
              </w:rPr>
              <w:t>Back-end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359,067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377,490</w:t>
            </w:r>
          </w:p>
        </w:tc>
        <w:tc>
          <w:tcPr>
            <w:tcW w:w="110" w:type="dxa"/>
            <w:tcBorders/>
            <w:shd w:fill="CCEEFF" w:val="clear"/>
            <w:vAlign w:val="center"/>
          </w:tcPr>
          <w:p>
            <w:pPr>
              <w:pStyle w:val="TableContents"/>
              <w:bidi w:val="0"/>
              <w:spacing w:before="0" w:after="283"/>
              <w:jc w:val="left"/>
              <w:rPr/>
            </w:pPr>
            <w:r>
              <w:rPr/>
              <w:t> </w:t>
            </w:r>
            <w:bookmarkStart w:id="182" w:name="xdx_402_eus-gaap--PaidInKindInterest_i02"/>
            <w:bookmarkEnd w:id="182"/>
          </w:p>
        </w:tc>
      </w:tr>
      <w:tr>
        <w:trPr/>
        <w:tc>
          <w:tcPr>
            <w:tcW w:w="7400" w:type="dxa"/>
            <w:tcBorders/>
            <w:shd w:fill="FFFFFF" w:val="clear"/>
            <w:vAlign w:val="center"/>
          </w:tcPr>
          <w:p>
            <w:pPr>
              <w:pStyle w:val="TableContents"/>
              <w:bidi w:val="0"/>
              <w:spacing w:before="0" w:after="283"/>
              <w:jc w:val="left"/>
              <w:rPr>
                <w:b w:val="false"/>
              </w:rPr>
            </w:pPr>
            <w:r>
              <w:rPr>
                <w:b w:val="false"/>
              </w:rPr>
              <w:t>Paid-in-kind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995,244</w:t>
            </w:r>
          </w:p>
        </w:tc>
        <w:tc>
          <w:tcPr>
            <w:tcW w:w="110" w:type="dxa"/>
            <w:tcBorders/>
            <w:shd w:fill="FFFFFF" w:val="clear"/>
            <w:vAlign w:val="center"/>
          </w:tcPr>
          <w:p>
            <w:pPr>
              <w:pStyle w:val="TableContents"/>
              <w:bidi w:val="0"/>
              <w:spacing w:before="0" w:after="283"/>
              <w:jc w:val="left"/>
              <w:rPr/>
            </w:pPr>
            <w:r>
              <w:rPr/>
              <w:t> </w:t>
            </w:r>
            <w:bookmarkStart w:id="183" w:name="xdx_403_ecustom--AccretionOfFinanceLiabi"/>
            <w:bookmarkEnd w:id="183"/>
          </w:p>
        </w:tc>
      </w:tr>
      <w:tr>
        <w:trPr/>
        <w:tc>
          <w:tcPr>
            <w:tcW w:w="7400" w:type="dxa"/>
            <w:tcBorders/>
            <w:shd w:fill="CCEEFF" w:val="clear"/>
            <w:vAlign w:val="center"/>
          </w:tcPr>
          <w:p>
            <w:pPr>
              <w:pStyle w:val="TableContents"/>
              <w:bidi w:val="0"/>
              <w:spacing w:before="0" w:after="283"/>
              <w:jc w:val="left"/>
              <w:rPr>
                <w:b w:val="false"/>
              </w:rPr>
            </w:pPr>
            <w:r>
              <w:rPr>
                <w:b w:val="false"/>
              </w:rPr>
              <w:t>Accretion of finance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86,541</w:t>
            </w:r>
          </w:p>
        </w:tc>
        <w:tc>
          <w:tcPr>
            <w:tcW w:w="110" w:type="dxa"/>
            <w:tcBorders/>
            <w:shd w:fill="CCEEFF" w:val="clear"/>
            <w:vAlign w:val="center"/>
          </w:tcPr>
          <w:p>
            <w:pPr>
              <w:pStyle w:val="TableContents"/>
              <w:bidi w:val="0"/>
              <w:spacing w:before="0" w:after="283"/>
              <w:jc w:val="left"/>
              <w:rPr/>
            </w:pPr>
            <w:r>
              <w:rPr/>
              <w:t> </w:t>
            </w:r>
            <w:bookmarkStart w:id="184" w:name="xdx_402_ecustom--AmortizationAndWriteoff"/>
            <w:bookmarkEnd w:id="184"/>
          </w:p>
        </w:tc>
      </w:tr>
      <w:tr>
        <w:trPr/>
        <w:tc>
          <w:tcPr>
            <w:tcW w:w="7400" w:type="dxa"/>
            <w:tcBorders/>
            <w:shd w:fill="FFFFFF" w:val="clear"/>
            <w:vAlign w:val="center"/>
          </w:tcPr>
          <w:p>
            <w:pPr>
              <w:pStyle w:val="TableContents"/>
              <w:bidi w:val="0"/>
              <w:spacing w:before="0" w:after="283"/>
              <w:jc w:val="left"/>
              <w:rPr>
                <w:b w:val="false"/>
              </w:rPr>
            </w:pPr>
            <w:r>
              <w:rPr>
                <w:b w:val="false"/>
              </w:rPr>
              <w:t>Amortization and write-off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147,083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132,821</w:t>
            </w:r>
          </w:p>
        </w:tc>
        <w:tc>
          <w:tcPr>
            <w:tcW w:w="110" w:type="dxa"/>
            <w:tcBorders/>
            <w:shd w:fill="FFFFFF" w:val="clear"/>
            <w:vAlign w:val="center"/>
          </w:tcPr>
          <w:p>
            <w:pPr>
              <w:pStyle w:val="TableContents"/>
              <w:bidi w:val="0"/>
              <w:spacing w:before="0" w:after="283"/>
              <w:jc w:val="left"/>
              <w:rPr/>
            </w:pPr>
            <w:r>
              <w:rPr/>
              <w:t> </w:t>
            </w:r>
            <w:bookmarkStart w:id="185" w:name="xdx_40A_eus-gaap--IncreaseDecreaseInOper"/>
            <w:bookmarkEnd w:id="185"/>
          </w:p>
        </w:tc>
      </w:tr>
      <w:tr>
        <w:trPr/>
        <w:tc>
          <w:tcPr>
            <w:tcW w:w="740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6" w:name="xdx_402_eus-gaap--IncreaseDecreaseInAcco"/>
            <w:bookmarkEnd w:id="186"/>
          </w:p>
        </w:tc>
      </w:tr>
      <w:tr>
        <w:trPr/>
        <w:tc>
          <w:tcPr>
            <w:tcW w:w="7400" w:type="dxa"/>
            <w:tcBorders/>
            <w:shd w:fill="FFFFFF" w:val="clear"/>
            <w:vAlign w:val="center"/>
          </w:tcPr>
          <w:p>
            <w:pPr>
              <w:pStyle w:val="TableContents"/>
              <w:bidi w:val="0"/>
              <w:spacing w:before="0" w:after="283"/>
              <w:jc w:val="left"/>
              <w:rPr>
                <w:b w:val="false"/>
              </w:rPr>
            </w:pPr>
            <w:r>
              <w:rPr>
                <w:b w:val="false"/>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(700,576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125,086</w:t>
            </w:r>
          </w:p>
        </w:tc>
        <w:tc>
          <w:tcPr>
            <w:tcW w:w="110" w:type="dxa"/>
            <w:tcBorders/>
            <w:shd w:fill="FFFFFF" w:val="clear"/>
            <w:vAlign w:val="center"/>
          </w:tcPr>
          <w:p>
            <w:pPr>
              <w:pStyle w:val="TableContents"/>
              <w:bidi w:val="0"/>
              <w:spacing w:before="0" w:after="283"/>
              <w:jc w:val="left"/>
              <w:rPr/>
            </w:pPr>
            <w:r>
              <w:rPr/>
              <w:t> </w:t>
            </w:r>
            <w:bookmarkStart w:id="187" w:name="xdx_408_eus-gaap--IncreaseDecreaseInAcco"/>
            <w:bookmarkEnd w:id="187"/>
          </w:p>
        </w:tc>
      </w:tr>
      <w:tr>
        <w:trPr/>
        <w:tc>
          <w:tcPr>
            <w:tcW w:w="7400" w:type="dxa"/>
            <w:tcBorders/>
            <w:shd w:fill="CCEEFF" w:val="clear"/>
            <w:vAlign w:val="center"/>
          </w:tcPr>
          <w:p>
            <w:pPr>
              <w:pStyle w:val="TableContents"/>
              <w:bidi w:val="0"/>
              <w:spacing w:before="0" w:after="283"/>
              <w:jc w:val="left"/>
              <w:rPr>
                <w:b w:val="false"/>
              </w:rPr>
            </w:pPr>
            <w:r>
              <w:rPr>
                <w:b w:val="false"/>
              </w:rPr>
              <w:t>Accounts receivable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31,485</w:t>
            </w:r>
          </w:p>
        </w:tc>
        <w:tc>
          <w:tcPr>
            <w:tcW w:w="110" w:type="dxa"/>
            <w:tcBorders/>
            <w:shd w:fill="CCEEFF" w:val="clear"/>
            <w:vAlign w:val="center"/>
          </w:tcPr>
          <w:p>
            <w:pPr>
              <w:pStyle w:val="TableContents"/>
              <w:bidi w:val="0"/>
              <w:spacing w:before="0" w:after="283"/>
              <w:jc w:val="left"/>
              <w:rPr/>
            </w:pPr>
            <w:r>
              <w:rPr/>
              <w:t> </w:t>
            </w:r>
            <w:bookmarkStart w:id="188" w:name="xdx_40E_eus-gaap--IncreaseDecreaseInInve"/>
            <w:bookmarkEnd w:id="188"/>
          </w:p>
        </w:tc>
      </w:tr>
      <w:tr>
        <w:trPr/>
        <w:tc>
          <w:tcPr>
            <w:tcW w:w="7400" w:type="dxa"/>
            <w:tcBorders/>
            <w:shd w:fill="FFFFFF" w:val="clear"/>
            <w:vAlign w:val="center"/>
          </w:tcPr>
          <w:p>
            <w:pPr>
              <w:pStyle w:val="TableContents"/>
              <w:bidi w:val="0"/>
              <w:spacing w:before="0" w:after="283"/>
              <w:jc w:val="left"/>
              <w:rPr>
                <w:b w:val="false"/>
              </w:rPr>
            </w:pPr>
            <w:r>
              <w:rPr>
                <w:b w:val="false"/>
              </w:rPr>
              <w:t>Inventory,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358,005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(1,130,775</w:t>
            </w:r>
          </w:p>
        </w:tc>
        <w:tc>
          <w:tcPr>
            <w:tcW w:w="110" w:type="dxa"/>
            <w:tcBorders/>
            <w:shd w:fill="FFFFFF" w:val="clear"/>
            <w:vAlign w:val="center"/>
          </w:tcPr>
          <w:p>
            <w:pPr>
              <w:pStyle w:val="TableContents"/>
              <w:bidi w:val="0"/>
              <w:spacing w:before="0" w:after="283"/>
              <w:jc w:val="left"/>
              <w:rPr/>
            </w:pPr>
            <w:r>
              <w:rPr/>
              <w:t>)</w:t>
            </w:r>
            <w:bookmarkStart w:id="189" w:name="xdx_400_eus-gaap--IncreaseDecreaseInPrep"/>
            <w:bookmarkEnd w:id="189"/>
          </w:p>
        </w:tc>
      </w:tr>
      <w:tr>
        <w:trPr/>
        <w:tc>
          <w:tcPr>
            <w:tcW w:w="7400" w:type="dxa"/>
            <w:tcBorders/>
            <w:shd w:fill="CCEEFF" w:val="clear"/>
            <w:vAlign w:val="center"/>
          </w:tcPr>
          <w:p>
            <w:pPr>
              <w:pStyle w:val="TableContents"/>
              <w:bidi w:val="0"/>
              <w:spacing w:before="0" w:after="283"/>
              <w:jc w:val="left"/>
              <w:rPr>
                <w:b w:val="false"/>
              </w:rPr>
            </w:pPr>
            <w:r>
              <w:rPr>
                <w:b w:val="false"/>
              </w:rPr>
              <w:t>Prepaid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254,547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(76,285</w:t>
            </w:r>
          </w:p>
        </w:tc>
        <w:tc>
          <w:tcPr>
            <w:tcW w:w="110" w:type="dxa"/>
            <w:tcBorders/>
            <w:shd w:fill="CCEEFF" w:val="clear"/>
            <w:vAlign w:val="center"/>
          </w:tcPr>
          <w:p>
            <w:pPr>
              <w:pStyle w:val="TableContents"/>
              <w:bidi w:val="0"/>
              <w:spacing w:before="0" w:after="283"/>
              <w:jc w:val="left"/>
              <w:rPr/>
            </w:pPr>
            <w:r>
              <w:rPr/>
              <w:t>)</w:t>
            </w:r>
            <w:bookmarkStart w:id="190" w:name="xdx_40C_eus-gaap--IncreaseDecreaseInAcco"/>
            <w:bookmarkEnd w:id="190"/>
          </w:p>
        </w:tc>
      </w:tr>
      <w:tr>
        <w:trPr/>
        <w:tc>
          <w:tcPr>
            <w:tcW w:w="7400" w:type="dxa"/>
            <w:tcBorders/>
            <w:shd w:fill="FFFFFF" w:val="clear"/>
            <w:vAlign w:val="center"/>
          </w:tcPr>
          <w:p>
            <w:pPr>
              <w:pStyle w:val="TableContents"/>
              <w:bidi w:val="0"/>
              <w:spacing w:before="0" w:after="283"/>
              <w:jc w:val="left"/>
              <w:rPr>
                <w:b w:val="false"/>
              </w:rPr>
            </w:pPr>
            <w:r>
              <w:rPr>
                <w:b w:val="false"/>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(937,318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(42,464</w:t>
            </w:r>
          </w:p>
        </w:tc>
        <w:tc>
          <w:tcPr>
            <w:tcW w:w="110" w:type="dxa"/>
            <w:tcBorders/>
            <w:shd w:fill="FFFFFF" w:val="clear"/>
            <w:vAlign w:val="center"/>
          </w:tcPr>
          <w:p>
            <w:pPr>
              <w:pStyle w:val="TableContents"/>
              <w:bidi w:val="0"/>
              <w:spacing w:before="0" w:after="283"/>
              <w:jc w:val="left"/>
              <w:rPr/>
            </w:pPr>
            <w:r>
              <w:rPr/>
              <w:t>)</w:t>
            </w:r>
            <w:bookmarkStart w:id="191" w:name="xdx_404_ecustom--IncreaseDecreaseInAccou"/>
            <w:bookmarkEnd w:id="191"/>
          </w:p>
        </w:tc>
      </w:tr>
      <w:tr>
        <w:trPr/>
        <w:tc>
          <w:tcPr>
            <w:tcW w:w="7400" w:type="dxa"/>
            <w:tcBorders/>
            <w:shd w:fill="CCEEFF" w:val="clear"/>
            <w:vAlign w:val="center"/>
          </w:tcPr>
          <w:p>
            <w:pPr>
              <w:pStyle w:val="TableContents"/>
              <w:bidi w:val="0"/>
              <w:spacing w:before="0" w:after="283"/>
              <w:jc w:val="left"/>
              <w:rPr>
                <w:b w:val="false"/>
              </w:rPr>
            </w:pPr>
            <w:r>
              <w:rPr>
                <w:b w:val="false"/>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1,442</w:t>
            </w:r>
          </w:p>
        </w:tc>
        <w:tc>
          <w:tcPr>
            <w:tcW w:w="110" w:type="dxa"/>
            <w:tcBorders/>
            <w:shd w:fill="CCEEFF" w:val="clear"/>
            <w:vAlign w:val="center"/>
          </w:tcPr>
          <w:p>
            <w:pPr>
              <w:pStyle w:val="TableContents"/>
              <w:bidi w:val="0"/>
              <w:spacing w:before="0" w:after="283"/>
              <w:jc w:val="left"/>
              <w:rPr/>
            </w:pPr>
            <w:r>
              <w:rPr/>
              <w:t> </w:t>
            </w:r>
            <w:bookmarkStart w:id="192" w:name="xdx_40E_ecustom--IncreaseDecreaseInAccru"/>
            <w:bookmarkEnd w:id="192"/>
          </w:p>
        </w:tc>
      </w:tr>
      <w:tr>
        <w:trPr/>
        <w:tc>
          <w:tcPr>
            <w:tcW w:w="7400" w:type="dxa"/>
            <w:tcBorders/>
            <w:shd w:fill="FFFFFF" w:val="clear"/>
            <w:vAlign w:val="center"/>
          </w:tcPr>
          <w:p>
            <w:pPr>
              <w:pStyle w:val="TableContents"/>
              <w:bidi w:val="0"/>
              <w:spacing w:before="0" w:after="283"/>
              <w:jc w:val="left"/>
              <w:rPr>
                <w:b w:val="false"/>
              </w:rPr>
            </w:pPr>
            <w:r>
              <w:rPr>
                <w:b w:val="false"/>
              </w:rPr>
              <w:t>Accrued royalties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898,597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317,076</w:t>
            </w:r>
          </w:p>
        </w:tc>
        <w:tc>
          <w:tcPr>
            <w:tcW w:w="110" w:type="dxa"/>
            <w:tcBorders/>
            <w:shd w:fill="FFFFFF" w:val="clear"/>
            <w:vAlign w:val="center"/>
          </w:tcPr>
          <w:p>
            <w:pPr>
              <w:pStyle w:val="TableContents"/>
              <w:bidi w:val="0"/>
              <w:spacing w:before="0" w:after="283"/>
              <w:jc w:val="left"/>
              <w:rPr/>
            </w:pPr>
            <w:r>
              <w:rPr/>
              <w:t> </w:t>
            </w:r>
            <w:bookmarkStart w:id="193" w:name="xdx_406_ecustom--IncreaseDecreaseInAccru"/>
            <w:bookmarkEnd w:id="193"/>
          </w:p>
        </w:tc>
      </w:tr>
      <w:tr>
        <w:trPr/>
        <w:tc>
          <w:tcPr>
            <w:tcW w:w="7400" w:type="dxa"/>
            <w:tcBorders/>
            <w:shd w:fill="CCEEFF" w:val="clear"/>
            <w:vAlign w:val="center"/>
          </w:tcPr>
          <w:p>
            <w:pPr>
              <w:pStyle w:val="TableContents"/>
              <w:bidi w:val="0"/>
              <w:spacing w:before="0" w:after="283"/>
              <w:jc w:val="left"/>
              <w:rPr>
                <w:b w:val="false"/>
              </w:rPr>
            </w:pPr>
            <w:r>
              <w:rPr>
                <w:b w:val="false"/>
              </w:rPr>
              <w:t>Accrued bonuses and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(5,762,706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(579,389</w:t>
            </w:r>
          </w:p>
        </w:tc>
        <w:tc>
          <w:tcPr>
            <w:tcW w:w="110" w:type="dxa"/>
            <w:tcBorders/>
            <w:shd w:fill="CCEEFF" w:val="clear"/>
            <w:vAlign w:val="center"/>
          </w:tcPr>
          <w:p>
            <w:pPr>
              <w:pStyle w:val="TableContents"/>
              <w:bidi w:val="0"/>
              <w:spacing w:before="0" w:after="283"/>
              <w:jc w:val="left"/>
              <w:rPr/>
            </w:pPr>
            <w:r>
              <w:rPr/>
              <w:t>)</w:t>
            </w:r>
            <w:bookmarkStart w:id="194" w:name="xdx_402_eus-gaap--IncreaseDecreaseInOper"/>
            <w:bookmarkEnd w:id="194"/>
          </w:p>
        </w:tc>
      </w:tr>
      <w:tr>
        <w:trPr/>
        <w:tc>
          <w:tcPr>
            <w:tcW w:w="7400" w:type="dxa"/>
            <w:tcBorders/>
            <w:shd w:fill="FFFFFF" w:val="clear"/>
            <w:vAlign w:val="center"/>
          </w:tcPr>
          <w:p>
            <w:pPr>
              <w:pStyle w:val="TableContents"/>
              <w:bidi w:val="0"/>
              <w:spacing w:before="0" w:after="283"/>
              <w:jc w:val="left"/>
              <w:rPr>
                <w:b w:val="false"/>
              </w:rPr>
            </w:pPr>
            <w:r>
              <w:rPr>
                <w:b w:val="false"/>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(169,250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(361,513</w:t>
            </w:r>
          </w:p>
        </w:tc>
        <w:tc>
          <w:tcPr>
            <w:tcW w:w="110" w:type="dxa"/>
            <w:tcBorders/>
            <w:shd w:fill="FFFFFF" w:val="clear"/>
            <w:vAlign w:val="center"/>
          </w:tcPr>
          <w:p>
            <w:pPr>
              <w:pStyle w:val="TableContents"/>
              <w:bidi w:val="0"/>
              <w:spacing w:before="0" w:after="283"/>
              <w:jc w:val="left"/>
              <w:rPr/>
            </w:pPr>
            <w:r>
              <w:rPr/>
              <w:t>)</w:t>
            </w:r>
            <w:bookmarkStart w:id="195" w:name="xdx_409_eus-gaap--NetCashProvidedByUsedI"/>
            <w:bookmarkEnd w:id="195"/>
          </w:p>
        </w:tc>
      </w:tr>
      <w:tr>
        <w:trPr/>
        <w:tc>
          <w:tcPr>
            <w:tcW w:w="7400" w:type="dxa"/>
            <w:tcBorders/>
            <w:shd w:fill="CCEEFF" w:val="clear"/>
            <w:vAlign w:val="center"/>
          </w:tcPr>
          <w:p>
            <w:pPr>
              <w:pStyle w:val="TableContents"/>
              <w:bidi w:val="0"/>
              <w:spacing w:before="0" w:after="283"/>
              <w:jc w:val="left"/>
              <w:rPr>
                <w:b/>
              </w:rPr>
            </w:pPr>
            <w:r>
              <w:rPr>
                <w:b/>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(426,935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665,127</w:t>
            </w:r>
          </w:p>
        </w:tc>
        <w:tc>
          <w:tcPr>
            <w:tcW w:w="110" w:type="dxa"/>
            <w:tcBorders/>
            <w:shd w:fill="CCEEFF" w:val="clear"/>
            <w:vAlign w:val="center"/>
          </w:tcPr>
          <w:p>
            <w:pPr>
              <w:pStyle w:val="TableContents"/>
              <w:bidi w:val="0"/>
              <w:spacing w:before="0" w:after="283"/>
              <w:jc w:val="left"/>
              <w:rPr/>
            </w:pPr>
            <w:r>
              <w:rPr/>
              <w:t> </w:t>
            </w:r>
            <w:bookmarkStart w:id="196" w:name="xdx_40E_eus-gaap--NetCashProvidedByUsedI"/>
            <w:bookmarkEnd w:id="196"/>
          </w:p>
        </w:tc>
      </w:tr>
      <w:tr>
        <w:trPr/>
        <w:tc>
          <w:tcPr>
            <w:tcW w:w="740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7" w:name="xdx_405_eus-gaap--PaymentsToAcquirePrope"/>
            <w:bookmarkEnd w:id="197"/>
          </w:p>
        </w:tc>
      </w:tr>
      <w:tr>
        <w:trPr/>
        <w:tc>
          <w:tcPr>
            <w:tcW w:w="7400" w:type="dxa"/>
            <w:tcBorders/>
            <w:shd w:fill="CCEEFF" w:val="clear"/>
            <w:vAlign w:val="center"/>
          </w:tcPr>
          <w:p>
            <w:pPr>
              <w:pStyle w:val="TableContents"/>
              <w:bidi w:val="0"/>
              <w:spacing w:before="0" w:after="283"/>
              <w:jc w:val="left"/>
              <w:rPr>
                <w:b w:val="false"/>
              </w:rPr>
            </w:pPr>
            <w:r>
              <w:rPr>
                <w:b w:val="false"/>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(3,484,008</w:t>
            </w:r>
          </w:p>
        </w:tc>
        <w:tc>
          <w:tcPr>
            <w:tcW w:w="110" w:type="dxa"/>
            <w:tcBorders/>
            <w:shd w:fill="CCEEFF" w:val="clear"/>
            <w:vAlign w:val="center"/>
          </w:tcPr>
          <w:p>
            <w:pPr>
              <w:pStyle w:val="TableContents"/>
              <w:bidi w:val="0"/>
              <w:spacing w:before="0" w:after="283"/>
              <w:jc w:val="left"/>
              <w:rPr/>
            </w:pPr>
            <w:r>
              <w:rPr/>
              <w:t>)</w:t>
            </w:r>
            <w:bookmarkStart w:id="198" w:name="xdx_404_eus-gaap--ProceedsFromSaleOfProp"/>
            <w:bookmarkEnd w:id="198"/>
          </w:p>
        </w:tc>
      </w:tr>
      <w:tr>
        <w:trPr/>
        <w:tc>
          <w:tcPr>
            <w:tcW w:w="7400" w:type="dxa"/>
            <w:tcBorders/>
            <w:shd w:fill="FFFFFF" w:val="clear"/>
            <w:vAlign w:val="center"/>
          </w:tcPr>
          <w:p>
            <w:pPr>
              <w:pStyle w:val="TableContents"/>
              <w:bidi w:val="0"/>
              <w:spacing w:before="0" w:after="283"/>
              <w:jc w:val="left"/>
              <w:rPr>
                <w:b w:val="false"/>
              </w:rPr>
            </w:pPr>
            <w:r>
              <w:rPr>
                <w:b w:val="false"/>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60,000</w:t>
            </w:r>
          </w:p>
        </w:tc>
        <w:tc>
          <w:tcPr>
            <w:tcW w:w="110" w:type="dxa"/>
            <w:tcBorders/>
            <w:shd w:fill="FFFFFF" w:val="clear"/>
            <w:vAlign w:val="center"/>
          </w:tcPr>
          <w:p>
            <w:pPr>
              <w:pStyle w:val="TableContents"/>
              <w:bidi w:val="0"/>
              <w:spacing w:before="0" w:after="283"/>
              <w:jc w:val="left"/>
              <w:rPr/>
            </w:pPr>
            <w:r>
              <w:rPr/>
              <w:t> </w:t>
            </w:r>
            <w:bookmarkStart w:id="199" w:name="xdx_40F_eus-gaap--PaymentsToAcquireIntan"/>
            <w:bookmarkEnd w:id="199"/>
          </w:p>
        </w:tc>
      </w:tr>
      <w:tr>
        <w:trPr/>
        <w:tc>
          <w:tcPr>
            <w:tcW w:w="7400" w:type="dxa"/>
            <w:tcBorders/>
            <w:shd w:fill="CCEEFF" w:val="clear"/>
            <w:vAlign w:val="center"/>
          </w:tcPr>
          <w:p>
            <w:pPr>
              <w:pStyle w:val="TableContents"/>
              <w:bidi w:val="0"/>
              <w:spacing w:before="0" w:after="283"/>
              <w:jc w:val="left"/>
              <w:rPr>
                <w:b w:val="false"/>
              </w:rPr>
            </w:pPr>
            <w:r>
              <w:rPr>
                <w:b w:val="false"/>
              </w:rPr>
              <w:t>Purchases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(23,452</w:t>
            </w:r>
          </w:p>
        </w:tc>
        <w:tc>
          <w:tcPr>
            <w:tcW w:w="110" w:type="dxa"/>
            <w:tcBorders/>
            <w:shd w:fill="CCEEFF" w:val="clear"/>
            <w:vAlign w:val="center"/>
          </w:tcPr>
          <w:p>
            <w:pPr>
              <w:pStyle w:val="TableContents"/>
              <w:bidi w:val="0"/>
              <w:spacing w:before="0" w:after="283"/>
              <w:jc w:val="left"/>
              <w:rPr/>
            </w:pPr>
            <w:r>
              <w:rPr/>
              <w:t>)</w:t>
            </w:r>
            <w:bookmarkStart w:id="200" w:name="xdx_40E_eus-gaap--PaymentsToAcquireEquit"/>
            <w:bookmarkEnd w:id="200"/>
          </w:p>
        </w:tc>
      </w:tr>
      <w:tr>
        <w:trPr/>
        <w:tc>
          <w:tcPr>
            <w:tcW w:w="7400" w:type="dxa"/>
            <w:tcBorders/>
            <w:shd w:fill="FFFFFF" w:val="clear"/>
            <w:vAlign w:val="center"/>
          </w:tcPr>
          <w:p>
            <w:pPr>
              <w:pStyle w:val="TableContents"/>
              <w:bidi w:val="0"/>
              <w:spacing w:before="0" w:after="283"/>
              <w:jc w:val="left"/>
              <w:rPr>
                <w:b w:val="false"/>
              </w:rPr>
            </w:pPr>
            <w:r>
              <w:rPr>
                <w:b w:val="false"/>
              </w:rPr>
              <w:t>Investment in equity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(3,538,217</w:t>
            </w:r>
          </w:p>
        </w:tc>
        <w:tc>
          <w:tcPr>
            <w:tcW w:w="110" w:type="dxa"/>
            <w:tcBorders/>
            <w:shd w:fill="FFFFFF" w:val="clear"/>
            <w:vAlign w:val="center"/>
          </w:tcPr>
          <w:p>
            <w:pPr>
              <w:pStyle w:val="TableContents"/>
              <w:bidi w:val="0"/>
              <w:spacing w:before="0" w:after="283"/>
              <w:jc w:val="left"/>
              <w:rPr/>
            </w:pPr>
            <w:r>
              <w:rPr/>
              <w:t>)</w:t>
            </w:r>
            <w:bookmarkStart w:id="201" w:name="xdx_40A_ecustom--CarepicsAcquisition_i01"/>
            <w:bookmarkEnd w:id="201"/>
          </w:p>
        </w:tc>
      </w:tr>
      <w:tr>
        <w:trPr/>
        <w:tc>
          <w:tcPr>
            <w:tcW w:w="7400" w:type="dxa"/>
            <w:tcBorders/>
            <w:shd w:fill="CCEEFF" w:val="clear"/>
            <w:vAlign w:val="center"/>
          </w:tcPr>
          <w:p>
            <w:pPr>
              <w:pStyle w:val="TableContents"/>
              <w:bidi w:val="0"/>
              <w:spacing w:before="0" w:after="283"/>
              <w:jc w:val="left"/>
              <w:rPr>
                <w:b w:val="false"/>
              </w:rPr>
            </w:pPr>
            <w:r>
              <w:rPr>
                <w:b w:val="false"/>
              </w:rPr>
              <w:t>CarePICS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(2,122,146</w:t>
            </w:r>
          </w:p>
        </w:tc>
        <w:tc>
          <w:tcPr>
            <w:tcW w:w="110" w:type="dxa"/>
            <w:tcBorders/>
            <w:shd w:fill="CCEEFF" w:val="clear"/>
            <w:vAlign w:val="center"/>
          </w:tcPr>
          <w:p>
            <w:pPr>
              <w:pStyle w:val="TableContents"/>
              <w:bidi w:val="0"/>
              <w:spacing w:before="0" w:after="283"/>
              <w:jc w:val="left"/>
              <w:rPr/>
            </w:pPr>
            <w:r>
              <w:rPr/>
              <w:t>)</w:t>
            </w:r>
            <w:bookmarkStart w:id="202" w:name="xdx_40F_eus-gaap--NetCashProvidedByUsedI"/>
            <w:bookmarkEnd w:id="202"/>
          </w:p>
        </w:tc>
      </w:tr>
      <w:tr>
        <w:trPr/>
        <w:tc>
          <w:tcPr>
            <w:tcW w:w="740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(49,052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(9,107,823</w:t>
            </w:r>
          </w:p>
        </w:tc>
        <w:tc>
          <w:tcPr>
            <w:tcW w:w="110" w:type="dxa"/>
            <w:tcBorders/>
            <w:shd w:fill="FFFFFF" w:val="clear"/>
            <w:vAlign w:val="center"/>
          </w:tcPr>
          <w:p>
            <w:pPr>
              <w:pStyle w:val="TableContents"/>
              <w:bidi w:val="0"/>
              <w:spacing w:before="0" w:after="283"/>
              <w:jc w:val="left"/>
              <w:rPr>
                <w:b/>
              </w:rPr>
            </w:pPr>
            <w:r>
              <w:rPr>
                <w:b/>
              </w:rPr>
              <w:t>)</w:t>
            </w:r>
            <w:bookmarkStart w:id="203" w:name="xdx_40F_eus-gaap--NetCashProvidedByUsedI"/>
            <w:bookmarkEnd w:id="203"/>
          </w:p>
        </w:tc>
      </w:tr>
      <w:tr>
        <w:trPr/>
        <w:tc>
          <w:tcPr>
            <w:tcW w:w="74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4" w:name="xdx_40E_eus-gaap--ProceedsFromShortTermD"/>
            <w:bookmarkEnd w:id="204"/>
          </w:p>
        </w:tc>
      </w:tr>
      <w:tr>
        <w:trPr/>
        <w:tc>
          <w:tcPr>
            <w:tcW w:w="7400" w:type="dxa"/>
            <w:tcBorders/>
            <w:shd w:fill="FFFFFF" w:val="clear"/>
            <w:vAlign w:val="center"/>
          </w:tcPr>
          <w:p>
            <w:pPr>
              <w:pStyle w:val="TableContents"/>
              <w:bidi w:val="0"/>
              <w:spacing w:before="0" w:after="283"/>
              <w:jc w:val="left"/>
              <w:rPr/>
            </w:pPr>
            <w:r>
              <w:rPr/>
              <w:t xml:space="preserve">Loan proceeds, net of debt issuance costs of </w:t>
            </w:r>
            <w:bookmarkStart w:id="205" w:name="xdx_90E_eus-gaap--PaymentsOfDebtIssuance"/>
            <w:bookmarkEnd w:id="205"/>
            <w:r>
              <w:rPr/>
              <w:t>zero in 2026 and $</w:t>
            </w:r>
            <w:bookmarkStart w:id="206" w:name="xdx_900_eus-gaap--PaymentsOfDebtIssuance"/>
            <w:bookmarkEnd w:id="206"/>
            <w:r>
              <w:rPr/>
              <w:t>228,183 in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12,021,817</w:t>
            </w:r>
          </w:p>
        </w:tc>
        <w:tc>
          <w:tcPr>
            <w:tcW w:w="110" w:type="dxa"/>
            <w:tcBorders/>
            <w:shd w:fill="FFFFFF" w:val="clear"/>
            <w:vAlign w:val="center"/>
          </w:tcPr>
          <w:p>
            <w:pPr>
              <w:pStyle w:val="TableContents"/>
              <w:bidi w:val="0"/>
              <w:spacing w:before="0" w:after="283"/>
              <w:jc w:val="left"/>
              <w:rPr/>
            </w:pPr>
            <w:r>
              <w:rPr/>
              <w:t> </w:t>
            </w:r>
            <w:bookmarkStart w:id="207" w:name="xdx_40C_eus-gaap--RepaymentsOfRelatedPar"/>
            <w:bookmarkEnd w:id="207"/>
          </w:p>
        </w:tc>
      </w:tr>
      <w:tr>
        <w:trPr/>
        <w:tc>
          <w:tcPr>
            <w:tcW w:w="7400" w:type="dxa"/>
            <w:tcBorders/>
            <w:shd w:fill="CCEEFF" w:val="clear"/>
            <w:vAlign w:val="center"/>
          </w:tcPr>
          <w:p>
            <w:pPr>
              <w:pStyle w:val="TableContents"/>
              <w:bidi w:val="0"/>
              <w:spacing w:before="0" w:after="283"/>
              <w:jc w:val="left"/>
              <w:rPr/>
            </w:pPr>
            <w:r>
              <w:rPr/>
              <w:t>Pay off debt assumed in CarePICS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(1,650,000</w:t>
            </w:r>
          </w:p>
        </w:tc>
        <w:tc>
          <w:tcPr>
            <w:tcW w:w="110" w:type="dxa"/>
            <w:tcBorders/>
            <w:shd w:fill="CCEEFF" w:val="clear"/>
            <w:vAlign w:val="center"/>
          </w:tcPr>
          <w:p>
            <w:pPr>
              <w:pStyle w:val="TableContents"/>
              <w:bidi w:val="0"/>
              <w:spacing w:before="0" w:after="283"/>
              <w:jc w:val="left"/>
              <w:rPr/>
            </w:pPr>
            <w:r>
              <w:rPr/>
              <w:t>)</w:t>
            </w:r>
            <w:bookmarkStart w:id="208" w:name="xdx_40D_eus-gaap--ProceedsFromPaymentsFo"/>
            <w:bookmarkEnd w:id="208"/>
          </w:p>
        </w:tc>
      </w:tr>
      <w:tr>
        <w:trPr/>
        <w:tc>
          <w:tcPr>
            <w:tcW w:w="7400" w:type="dxa"/>
            <w:tcBorders/>
            <w:shd w:fill="FFFFFF" w:val="clear"/>
            <w:vAlign w:val="center"/>
          </w:tcPr>
          <w:p>
            <w:pPr>
              <w:pStyle w:val="TableContents"/>
              <w:bidi w:val="0"/>
              <w:spacing w:before="0" w:after="283"/>
              <w:jc w:val="left"/>
              <w:rPr/>
            </w:pPr>
            <w:r>
              <w:rPr/>
              <w:t>Net settlement of equity-based awards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(525,700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(692,672</w:t>
            </w:r>
          </w:p>
        </w:tc>
        <w:tc>
          <w:tcPr>
            <w:tcW w:w="110" w:type="dxa"/>
            <w:tcBorders/>
            <w:shd w:fill="FFFFFF" w:val="clear"/>
            <w:vAlign w:val="center"/>
          </w:tcPr>
          <w:p>
            <w:pPr>
              <w:pStyle w:val="TableContents"/>
              <w:bidi w:val="0"/>
              <w:spacing w:before="0" w:after="283"/>
              <w:jc w:val="left"/>
              <w:rPr/>
            </w:pPr>
            <w:r>
              <w:rPr/>
              <w:t>)</w:t>
            </w:r>
            <w:bookmarkStart w:id="209" w:name="xdx_404_ecustom--CashPaymentOfFinanceAnd"/>
            <w:bookmarkEnd w:id="209"/>
          </w:p>
        </w:tc>
      </w:tr>
      <w:tr>
        <w:trPr/>
        <w:tc>
          <w:tcPr>
            <w:tcW w:w="7400" w:type="dxa"/>
            <w:tcBorders/>
            <w:shd w:fill="CCEEFF" w:val="clear"/>
            <w:vAlign w:val="center"/>
          </w:tcPr>
          <w:p>
            <w:pPr>
              <w:pStyle w:val="TableContents"/>
              <w:bidi w:val="0"/>
              <w:spacing w:before="0" w:after="283"/>
              <w:jc w:val="left"/>
              <w:rPr/>
            </w:pPr>
            <w:r>
              <w:rPr/>
              <w:t>Cash payment of finance and earnout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(156,000</w:t>
            </w:r>
          </w:p>
        </w:tc>
        <w:tc>
          <w:tcPr>
            <w:tcW w:w="110" w:type="dxa"/>
            <w:tcBorders/>
            <w:shd w:fill="CCEEFF" w:val="clear"/>
            <w:vAlign w:val="center"/>
          </w:tcPr>
          <w:p>
            <w:pPr>
              <w:pStyle w:val="TableContents"/>
              <w:bidi w:val="0"/>
              <w:spacing w:before="0" w:after="283"/>
              <w:jc w:val="left"/>
              <w:rPr/>
            </w:pPr>
            <w:r>
              <w:rPr/>
              <w:t>)</w:t>
            </w:r>
            <w:bookmarkStart w:id="210" w:name="xdx_40C_eus-gaap--NetCashProvidedByUsedI"/>
            <w:bookmarkEnd w:id="210"/>
          </w:p>
        </w:tc>
      </w:tr>
      <w:tr>
        <w:trPr/>
        <w:tc>
          <w:tcPr>
            <w:tcW w:w="7400"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(681,700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9,523,145</w:t>
            </w:r>
          </w:p>
        </w:tc>
        <w:tc>
          <w:tcPr>
            <w:tcW w:w="110" w:type="dxa"/>
            <w:tcBorders/>
            <w:shd w:fill="FFFFFF" w:val="clear"/>
            <w:vAlign w:val="center"/>
          </w:tcPr>
          <w:p>
            <w:pPr>
              <w:pStyle w:val="TableContents"/>
              <w:bidi w:val="0"/>
              <w:spacing w:before="0" w:after="283"/>
              <w:jc w:val="left"/>
              <w:rPr/>
            </w:pPr>
            <w:r>
              <w:rPr/>
              <w:t> </w:t>
            </w:r>
            <w:bookmarkStart w:id="211" w:name="xdx_409_eus-gaap--CashCashEquivalentsRes"/>
            <w:bookmarkEnd w:id="211"/>
          </w:p>
        </w:tc>
      </w:tr>
      <w:tr>
        <w:trPr/>
        <w:tc>
          <w:tcPr>
            <w:tcW w:w="7400"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(1,157,687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1,080,449</w:t>
            </w:r>
          </w:p>
        </w:tc>
        <w:tc>
          <w:tcPr>
            <w:tcW w:w="110" w:type="dxa"/>
            <w:tcBorders/>
            <w:shd w:fill="CCEEFF" w:val="clear"/>
            <w:vAlign w:val="center"/>
          </w:tcPr>
          <w:p>
            <w:pPr>
              <w:pStyle w:val="TableContents"/>
              <w:bidi w:val="0"/>
              <w:spacing w:before="0" w:after="283"/>
              <w:jc w:val="left"/>
              <w:rPr/>
            </w:pPr>
            <w:r>
              <w:rPr/>
              <w:t> </w:t>
            </w:r>
            <w:bookmarkStart w:id="212" w:name="xdx_40F_eus-gaap--CashCashEquivalentsRes"/>
            <w:bookmarkEnd w:id="212"/>
          </w:p>
        </w:tc>
      </w:tr>
      <w:tr>
        <w:trPr/>
        <w:tc>
          <w:tcPr>
            <w:tcW w:w="7400" w:type="dxa"/>
            <w:tcBorders/>
            <w:shd w:fill="FFFFFF" w:val="clear"/>
            <w:vAlign w:val="center"/>
          </w:tcPr>
          <w:p>
            <w:pPr>
              <w:pStyle w:val="TableContents"/>
              <w:bidi w:val="0"/>
              <w:spacing w:before="0" w:after="283"/>
              <w:jc w:val="left"/>
              <w:rPr>
                <w:b/>
              </w:rPr>
            </w:pPr>
            <w:r>
              <w:rPr>
                <w:b/>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16,578,857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15,878,295</w:t>
            </w:r>
          </w:p>
        </w:tc>
        <w:tc>
          <w:tcPr>
            <w:tcW w:w="110" w:type="dxa"/>
            <w:tcBorders/>
            <w:shd w:fill="FFFFFF" w:val="clear"/>
            <w:vAlign w:val="center"/>
          </w:tcPr>
          <w:p>
            <w:pPr>
              <w:pStyle w:val="TableContents"/>
              <w:bidi w:val="0"/>
              <w:spacing w:before="0" w:after="283"/>
              <w:jc w:val="left"/>
              <w:rPr/>
            </w:pPr>
            <w:r>
              <w:rPr/>
              <w:t> </w:t>
            </w:r>
            <w:bookmarkStart w:id="213" w:name="xdx_407_eus-gaap--CashCashEquivalentsRes"/>
            <w:bookmarkEnd w:id="213"/>
          </w:p>
        </w:tc>
      </w:tr>
      <w:tr>
        <w:trPr/>
        <w:tc>
          <w:tcPr>
            <w:tcW w:w="7400" w:type="dxa"/>
            <w:tcBorders/>
            <w:shd w:fill="CCEEFF" w:val="clear"/>
            <w:vAlign w:val="center"/>
          </w:tcPr>
          <w:p>
            <w:pPr>
              <w:pStyle w:val="TableContents"/>
              <w:bidi w:val="0"/>
              <w:spacing w:before="0" w:after="283"/>
              <w:jc w:val="left"/>
              <w:rPr>
                <w:b/>
              </w:rPr>
            </w:pPr>
            <w:r>
              <w:rPr>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15,421,170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16,958,744</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4" w:name="xdx_403_eus-gaap--SupplementalCashFlowIn"/>
            <w:bookmarkEnd w:id="214"/>
          </w:p>
        </w:tc>
      </w:tr>
      <w:tr>
        <w:trPr/>
        <w:tc>
          <w:tcPr>
            <w:tcW w:w="7400" w:type="dxa"/>
            <w:tcBorders/>
            <w:shd w:fill="CCEEFF" w:val="clear"/>
            <w:vAlign w:val="center"/>
          </w:tcPr>
          <w:p>
            <w:pPr>
              <w:pStyle w:val="TableContents"/>
              <w:bidi w:val="0"/>
              <w:spacing w:before="0" w:after="283"/>
              <w:jc w:val="left"/>
              <w:rPr>
                <w:b/>
              </w:rPr>
            </w:pPr>
            <w:r>
              <w:rPr>
                <w:b/>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5" w:name="xdx_40B_eus-gaap--InterestPaidNet_i01_pp"/>
            <w:bookmarkEnd w:id="215"/>
          </w:p>
        </w:tc>
      </w:tr>
      <w:tr>
        <w:trPr/>
        <w:tc>
          <w:tcPr>
            <w:tcW w:w="7400" w:type="dxa"/>
            <w:tcBorders/>
            <w:shd w:fill="FFFFFF" w:val="clear"/>
            <w:vAlign w:val="center"/>
          </w:tcPr>
          <w:p>
            <w:pPr>
              <w:pStyle w:val="TableContents"/>
              <w:bidi w:val="0"/>
              <w:spacing w:before="0" w:after="283"/>
              <w:jc w:val="left"/>
              <w:rPr>
                <w:b w:val="false"/>
              </w:rPr>
            </w:pPr>
            <w:r>
              <w:rPr>
                <w:b w:val="false"/>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3,050,346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1,516,563</w:t>
            </w:r>
          </w:p>
        </w:tc>
        <w:tc>
          <w:tcPr>
            <w:tcW w:w="110" w:type="dxa"/>
            <w:tcBorders/>
            <w:shd w:fill="FFFFFF" w:val="clear"/>
            <w:vAlign w:val="center"/>
          </w:tcPr>
          <w:p>
            <w:pPr>
              <w:pStyle w:val="TableContents"/>
              <w:bidi w:val="0"/>
              <w:spacing w:before="0" w:after="283"/>
              <w:jc w:val="left"/>
              <w:rPr/>
            </w:pPr>
            <w:r>
              <w:rPr/>
              <w:t> </w:t>
            </w:r>
            <w:bookmarkStart w:id="216" w:name="xdx_402_eus-gaap--IncomeTaxesPaidNet_i01"/>
            <w:bookmarkEnd w:id="216"/>
          </w:p>
        </w:tc>
      </w:tr>
      <w:tr>
        <w:trPr/>
        <w:tc>
          <w:tcPr>
            <w:tcW w:w="7400" w:type="dxa"/>
            <w:tcBorders/>
            <w:shd w:fill="CCEEFF" w:val="clear"/>
            <w:vAlign w:val="center"/>
          </w:tcPr>
          <w:p>
            <w:pPr>
              <w:pStyle w:val="TableContents"/>
              <w:bidi w:val="0"/>
              <w:spacing w:before="0" w:after="283"/>
              <w:jc w:val="left"/>
              <w:rPr>
                <w:b w:val="false"/>
              </w:rPr>
            </w:pPr>
            <w:r>
              <w:rPr>
                <w:b w:val="false"/>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52,984</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7" w:name="xdx_408_eus-gaap--NoncashInvestingAndFin"/>
            <w:bookmarkEnd w:id="217"/>
          </w:p>
        </w:tc>
      </w:tr>
      <w:tr>
        <w:trPr/>
        <w:tc>
          <w:tcPr>
            <w:tcW w:w="7400" w:type="dxa"/>
            <w:tcBorders/>
            <w:shd w:fill="CCEEFF" w:val="clear"/>
            <w:vAlign w:val="center"/>
          </w:tcPr>
          <w:p>
            <w:pPr>
              <w:pStyle w:val="TableContents"/>
              <w:bidi w:val="0"/>
              <w:spacing w:before="0" w:after="283"/>
              <w:jc w:val="left"/>
              <w:rPr>
                <w:b/>
              </w:rPr>
            </w:pPr>
            <w:r>
              <w:rPr>
                <w:b/>
              </w:rPr>
              <w:t>Supplemental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8" w:name="xdx_40F_ecustom--NonmonetaryExchangeToAc"/>
            <w:bookmarkEnd w:id="218"/>
          </w:p>
        </w:tc>
      </w:tr>
      <w:tr>
        <w:trPr/>
        <w:tc>
          <w:tcPr>
            <w:tcW w:w="7400" w:type="dxa"/>
            <w:tcBorders/>
            <w:shd w:fill="FFFFFF" w:val="clear"/>
            <w:vAlign w:val="center"/>
          </w:tcPr>
          <w:p>
            <w:pPr>
              <w:pStyle w:val="TableContents"/>
              <w:bidi w:val="0"/>
              <w:spacing w:before="0" w:after="283"/>
              <w:jc w:val="left"/>
              <w:rPr>
                <w:b w:val="false"/>
              </w:rPr>
            </w:pPr>
            <w:r>
              <w:rPr>
                <w:b w:val="false"/>
              </w:rPr>
              <w:t>Non-monetary exchange to acquire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2,084,278</w:t>
            </w:r>
          </w:p>
        </w:tc>
        <w:tc>
          <w:tcPr>
            <w:tcW w:w="110" w:type="dxa"/>
            <w:tcBorders/>
            <w:shd w:fill="FFFFFF" w:val="clear"/>
            <w:vAlign w:val="center"/>
          </w:tcPr>
          <w:p>
            <w:pPr>
              <w:pStyle w:val="TableContents"/>
              <w:bidi w:val="0"/>
              <w:spacing w:before="0" w:after="283"/>
              <w:jc w:val="left"/>
              <w:rPr/>
            </w:pPr>
            <w:r>
              <w:rPr/>
              <w:t> </w:t>
            </w:r>
            <w:bookmarkStart w:id="219" w:name="xdx_40D_ecustom--ConversionOfNoteReceiva"/>
            <w:bookmarkEnd w:id="219"/>
          </w:p>
        </w:tc>
      </w:tr>
      <w:tr>
        <w:trPr/>
        <w:tc>
          <w:tcPr>
            <w:tcW w:w="7400" w:type="dxa"/>
            <w:tcBorders/>
            <w:shd w:fill="CCEEFF" w:val="clear"/>
            <w:vAlign w:val="center"/>
          </w:tcPr>
          <w:p>
            <w:pPr>
              <w:pStyle w:val="TableContents"/>
              <w:bidi w:val="0"/>
              <w:spacing w:before="0" w:after="283"/>
              <w:jc w:val="left"/>
              <w:rPr>
                <w:b w:val="false"/>
              </w:rPr>
            </w:pPr>
            <w:r>
              <w:rPr>
                <w:b w:val="false"/>
              </w:rPr>
              <w:t>Conversion of note receivable into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1,101,478</w:t>
            </w:r>
          </w:p>
        </w:tc>
        <w:tc>
          <w:tcPr>
            <w:tcW w:w="110" w:type="dxa"/>
            <w:tcBorders/>
            <w:shd w:fill="CCEEFF" w:val="clear"/>
            <w:vAlign w:val="center"/>
          </w:tcPr>
          <w:p>
            <w:pPr>
              <w:pStyle w:val="TableContents"/>
              <w:bidi w:val="0"/>
              <w:spacing w:before="0" w:after="283"/>
              <w:jc w:val="left"/>
              <w:rPr/>
            </w:pPr>
            <w:r>
              <w:rPr/>
              <w:t> </w:t>
            </w:r>
            <w:bookmarkStart w:id="220" w:name="xdx_409_eus-gaap--NoncashOrPartNoncashAc"/>
            <w:bookmarkEnd w:id="220"/>
          </w:p>
        </w:tc>
      </w:tr>
      <w:tr>
        <w:trPr/>
        <w:tc>
          <w:tcPr>
            <w:tcW w:w="7400" w:type="dxa"/>
            <w:tcBorders/>
            <w:shd w:fill="FFFFFF" w:val="clear"/>
            <w:vAlign w:val="center"/>
          </w:tcPr>
          <w:p>
            <w:pPr>
              <w:pStyle w:val="TableContents"/>
              <w:bidi w:val="0"/>
              <w:spacing w:before="0" w:after="283"/>
              <w:jc w:val="left"/>
              <w:rPr>
                <w:b w:val="false"/>
              </w:rPr>
            </w:pPr>
            <w:r>
              <w:rPr>
                <w:b w:val="false"/>
              </w:rPr>
              <w:t>Earnout liability generated by CarePICS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jc w:val="center"/>
        <w:rPr>
          <w:rFonts w:ascii="Times New Roman;Times;Serif" w:hAnsi="Times New Roman;Times;Serif"/>
          <w:b/>
          <w:i w:val="false"/>
          <w:caps w:val="false"/>
          <w:smallCaps w:val="false"/>
          <w:sz w:val="20"/>
        </w:rPr>
      </w:pPr>
      <w:bookmarkStart w:id="221" w:name="sp_007"/>
      <w:bookmarkEnd w:id="221"/>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2" w:name="xdx_804_eus-gaap--NatureOfOperations_zEb"/>
      <w:bookmarkEnd w:id="222"/>
      <w:r>
        <w:rPr>
          <w:rFonts w:ascii="Times New Roman;Times;Serif" w:hAnsi="Times New Roman;Times;Serif"/>
          <w:b/>
          <w:i w:val="false"/>
          <w:caps w:val="false"/>
          <w:smallCaps w:val="false"/>
          <w:sz w:val="20"/>
        </w:rPr>
        <w:t xml:space="preserve">NOTE 1 — </w:t>
      </w:r>
      <w:bookmarkStart w:id="223" w:name="xdx_82B_zv4JaDM7vZr9"/>
      <w:bookmarkEnd w:id="223"/>
      <w:r>
        <w:rPr>
          <w:rFonts w:ascii="Times New Roman;Times;Serif" w:hAnsi="Times New Roman;Times;Serif"/>
          <w:b/>
          <w:i w:val="false"/>
          <w:caps w:val="false"/>
          <w:smallCaps w:val="false"/>
          <w:sz w:val="20"/>
        </w:rPr>
        <w:t>NATURE OF BUSINESS AND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MedTech Inc. (together with its wholly owned and majority owned subsidiaries on a consolidated basis, the “Company”) is a medical technology company focused on developing and commercializing transformative technologies to improve clinical outcomes and reduce healthcare expenditures in the surgical market. Each of the Company’s products are designed to achieve the Company’s goal of providing better clinical outcomes at a lower overall cost for healthcare systems. The Company strives to be one of the most innovative and comprehensive providers of effective surgical solutions and is continually seeking to expand its offerings for patients requiring surgical treatments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the second quarter of 2024, the Company had managed its business on the basis of </w:t>
      </w:r>
      <w:bookmarkStart w:id="224" w:name="xdx_905_eus-gaap--NumberOfReportableSegm"/>
      <w:bookmarkStart w:id="225" w:name="xdx_904_eus-gaap--NumberOfOperatingSegme"/>
      <w:bookmarkEnd w:id="224"/>
      <w:bookmarkEnd w:id="225"/>
      <w:r>
        <w:rPr>
          <w:rFonts w:ascii="Times New Roman;Times;Serif" w:hAnsi="Times New Roman;Times;Serif"/>
          <w:b w:val="false"/>
          <w:i w:val="false"/>
          <w:caps w:val="false"/>
          <w:smallCaps w:val="false"/>
          <w:sz w:val="20"/>
        </w:rPr>
        <w:t xml:space="preserve">two operating and reportable segments: Sanara Surgical and Tissue Health Plus (“THP”). As a result of the discontinuation of THP as detailed in Note 2 under the heading “Discontinued Operations” and in Note 3 below, the Company determined that continuing operations is comprised of a </w:t>
      </w:r>
      <w:bookmarkStart w:id="226" w:name="xdx_902_eus-gaap--NumberOfReportableSegm"/>
      <w:bookmarkEnd w:id="226"/>
      <w:r>
        <w:rPr>
          <w:rFonts w:ascii="Times New Roman;Times;Serif" w:hAnsi="Times New Roman;Times;Serif"/>
          <w:b w:val="false"/>
          <w:i w:val="false"/>
          <w:caps w:val="false"/>
          <w:smallCaps w:val="false"/>
          <w:sz w:val="20"/>
        </w:rPr>
        <w:t>1 single reportable segment. This determination was made in accordance with Accounting Standards Codification (“ASC”) Topic 280,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markets and sells soft tissue repair and bone fusion products for use in the operating room or other sterile environments. The Company’s soft tissue repair products include, among other products, the lead product, CellerateRX Surgical Powder, a hydrolyzed collagen that aids in the management of surgical wounds, BIASURGE Advanced Surgical Solution, a sterile no-rinse, advanced surgical solution used for wound irrigation and TEXAGEN Amniotic Membrane Allograft, a multi-layer amniotic membrane allograft used as an anatomical barrier with robust handling that can be sutured for securement if needed. The Company’s bone fusion products include, among other products, BiFORM Bioactive Moldable Matrix, an osteoconductive, bioactive, porous implant that allows for bony ingrowth across the graft site, ACTIGEN Verified Inductive Bone Matrix, a naturally derived, differentiated allograft matrix with robust handling properties, and ALLOCYTE Plus Advanced Viable Bone Matrix, a human allograft cellular bone matrix containing bone-derived progenitor cells and conformable bone fibers.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utilizes an in-house research and development team, Rochal Technologies. The Company is advancing a strong pipeline of next-generation products that supports and extends the Company’s surgical strategy of “Prepare, Promote and Protect.”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7" w:name="xdx_808_eus-gaap--SignificantAccountingP"/>
      <w:bookmarkEnd w:id="227"/>
      <w:r>
        <w:rPr>
          <w:rFonts w:ascii="Times New Roman;Times;Serif" w:hAnsi="Times New Roman;Times;Serif"/>
          <w:b/>
          <w:i w:val="false"/>
          <w:caps w:val="false"/>
          <w:smallCaps w:val="false"/>
          <w:sz w:val="20"/>
        </w:rPr>
        <w:t xml:space="preserve">NOTE 2 — </w:t>
      </w:r>
      <w:bookmarkStart w:id="228" w:name="xdx_828_zMPtCouuFIec"/>
      <w:bookmarkEnd w:id="22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29" w:name="xdx_863_zi9myGKgLA41"/>
      <w:bookmarkStart w:id="230" w:name="xdx_845_eus-gaap--ConsolidationPolicyTex"/>
      <w:bookmarkEnd w:id="229"/>
      <w:bookmarkEnd w:id="230"/>
      <w:r>
        <w:rPr>
          <w:rFonts w:ascii="Times New Roman;Times;Serif" w:hAnsi="Times New Roman;Times;Serif"/>
          <w:b/>
          <w:i/>
          <w:caps w:val="false"/>
          <w:smallCaps w:val="false"/>
          <w:sz w:val="20"/>
        </w:rPr>
        <w:t>Principles of Consolidation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include the accounts of Sanara MedTech Inc. and its wholly owned and majority-owned subsidiaries, as well as other entities in which the Company has a controlling financial interest. All significant intercompany profits, losses, transactions and balances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U.S. generally accepted accounting principles for complete financial statements. In the opinion of management of the Company, all adjustments (consisting of normal accruals) considered necessary for a fair presentation have been included. Operating results for interim periods are not necessarily indicative of the results that may be expected for the full year period. These financial statements and notes should be read in conjunction with the financial statements for each of the two years ended December 31, 2025 and 2024, which are included in the Company’s most recent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1" w:name="xdx_86D_zwQ5Hx7k2fai"/>
      <w:bookmarkStart w:id="232" w:name="xdx_845_eus-gaap--PriorPeriodReclassific"/>
      <w:bookmarkEnd w:id="231"/>
      <w:bookmarkEnd w:id="232"/>
      <w:r>
        <w:rPr>
          <w:rFonts w:ascii="Times New Roman;Times;Serif" w:hAnsi="Times New Roman;Times;Serif"/>
          <w:b/>
          <w:i/>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current year presentation.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3" w:name="xdx_868_zjpY1IKXct2k"/>
      <w:bookmarkStart w:id="234" w:name="xdx_844_eus-gaap--DiscontinuedOperations"/>
      <w:bookmarkEnd w:id="233"/>
      <w:bookmarkEnd w:id="234"/>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2025, following authorization from the Board of Directors of the Company, management initiated a review of strategic options for THP. To facilitate this review, the Company engaged an investment bank to search for potential investors or purchasers. Despite such efforts, by mid-September 2025, the Company concluded that these efforts were unlikely to succeed and ended its engagement with the investment bank. Persistent losses in the THP segment and a lack of interest from investors led management and the Board of Directors to decide to discontinue THP’s operations as of mid-September 2025. In line with this decision, the THP segment met the accounting requirements to be classified under discontinued operations as of September 30, 2025. The process of winding down THP was substantially complete as of December 31, 2025. A minimal amount of costs related to the winding down procedures were incurred through June 30, 2026 and are expected to continue being incurred through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generally accepted accounting principles in the United States (“GAAP”), the balance sheets and statements of operations of the THP segment are presented as discontinued operations and, as such, have been excluded from continuing operations for all periods presented. With the exception of Note 3, the Notes to the consolidated financial statements reflect only the positions and activity from continuing operations of Sanara Surgical unless otherwise noted. See Note 3 for additional information regarding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5" w:name="xdx_869_zj24KXZlVLK4"/>
      <w:bookmarkStart w:id="236" w:name="xdx_842_eus-gaap--UseOfEstimates_zubgKF2"/>
      <w:bookmarkEnd w:id="235"/>
      <w:bookmarkEnd w:id="236"/>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disclosure of contingent assets and liabilities at the date of the consolidated financial statements, and the revenue and expenses during the reporting period. However, actual results could differ from those estimates and there may be changes to the Company’s estimates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7" w:name="xdx_86D_z3IJatZCorZc"/>
      <w:bookmarkStart w:id="238" w:name="xdx_844_eus-gaap--CashAndCashEquivalents"/>
      <w:bookmarkEnd w:id="237"/>
      <w:bookmarkEnd w:id="238"/>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an original maturity of three months or less to be cash equivalents. The Company had cash and cash equivalents, consisting of cash on hand, as well as a money market fund, which is highly liquid and readily convertible to cash, totaling $</w:t>
      </w:r>
      <w:bookmarkStart w:id="239" w:name="xdx_90A_eus-gaap--CashAndCashEquivalents"/>
      <w:bookmarkEnd w:id="239"/>
      <w:r>
        <w:rPr>
          <w:rFonts w:ascii="Times New Roman;Times;Serif" w:hAnsi="Times New Roman;Times;Serif"/>
          <w:b w:val="false"/>
          <w:i w:val="false"/>
          <w:caps w:val="false"/>
          <w:smallCaps w:val="false"/>
          <w:sz w:val="20"/>
        </w:rPr>
        <w:t>15,421,170 at June 30, 2026. The Company’s investment in the U.S. government money market fund was made in May 2026 and consists of low-risk U.S. government securities. The Company had cash and cash equivalents, including cash on hand, totaling $</w:t>
      </w:r>
      <w:bookmarkStart w:id="240" w:name="xdx_909_eus-gaap--CashAndCashEquivalents"/>
      <w:bookmarkEnd w:id="240"/>
      <w:r>
        <w:rPr>
          <w:rFonts w:ascii="Times New Roman;Times;Serif" w:hAnsi="Times New Roman;Times;Serif"/>
          <w:b w:val="false"/>
          <w:i w:val="false"/>
          <w:caps w:val="false"/>
          <w:smallCaps w:val="false"/>
          <w:sz w:val="20"/>
        </w:rPr>
        <w:t>16,578,857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41" w:name="xdx_863_zXQg8IESrLH1"/>
      <w:bookmarkStart w:id="242" w:name="xdx_844_eus-gaap--EarningsPerSharePolicy"/>
      <w:bookmarkEnd w:id="241"/>
      <w:bookmarkEnd w:id="242"/>
      <w:r>
        <w:rPr>
          <w:rFonts w:ascii="Times New Roman;Times;Serif" w:hAnsi="Times New Roman;Times;Serif"/>
          <w:b/>
          <w:i/>
          <w:caps w:val="false"/>
          <w:smallCaps w:val="false"/>
          <w:sz w:val="20"/>
        </w:rPr>
        <w:t>Income/Loss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income/loss per share in accordance with ASC Topic 260, Earnings per Share, which requires the Company to present basic and diluted income/loss per share when the effect is dilutive. Basic income/loss per share is computed by dividing income/loss attributable to common shareholders by the weighted average number of shares of common stock outstanding. Diluted income/loss per share is computed similarly to basic income/loss per share, except that the denominator is increased to include the number of additional shares of common stock that would have been outstanding if the potential shares of common stock had been issued and if the additional shares of common stock were dilutive. All common stock equivalents were excluded from the calculations of income/loss per share during the three months ended June 30, 2026 and the six months ended June 30, 2026 and 2025, as their inclusion would have been anti-dilutive due to the Company’s net loss from continuing operations during those periods.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3" w:name="xdx_890_eus-gaap--ScheduleOfEarningsPerS"/>
      <w:bookmarkEnd w:id="243"/>
      <w:r>
        <w:rPr>
          <w:rFonts w:ascii="Times New Roman;Times;Serif" w:hAnsi="Times New Roman;Times;Serif"/>
          <w:b w:val="false"/>
          <w:i w:val="false"/>
          <w:caps w:val="false"/>
          <w:smallCaps w:val="false"/>
          <w:sz w:val="20"/>
        </w:rPr>
        <w:t>The following is a reconciliation of the numerator and denominator of basic and diluted net income (loss) per share for the periods presented:</w:t>
      </w:r>
    </w:p>
    <w:p>
      <w:pPr>
        <w:pStyle w:val="TextBody"/>
        <w:bidi w:val="0"/>
        <w:spacing w:before="0" w:after="0"/>
        <w:ind w:left="0" w:right="0" w:hanging="0"/>
        <w:jc w:val="both"/>
        <w:rPr>
          <w:caps w:val="false"/>
          <w:smallCaps w:val="false"/>
        </w:rPr>
      </w:pPr>
      <w:r>
        <w:rPr>
          <w:caps w:val="false"/>
          <w:smallCaps w:val="false"/>
        </w:rPr>
        <w:t> </w:t>
      </w:r>
      <w:bookmarkStart w:id="244" w:name="xdx_8B1_zN45dGtpNzB2"/>
      <w:bookmarkEnd w:id="244"/>
      <w:r>
        <w:rPr>
          <w:rFonts w:ascii="Times New Roman;Times;Serif" w:hAnsi="Times New Roman;Times;Serif"/>
          <w:b w:val="false"/>
          <w:i w:val="false"/>
          <w:caps w:val="false"/>
          <w:smallCaps w:val="false"/>
          <w:sz w:val="20"/>
        </w:rPr>
        <w:t>SCHEDULE OF NUMERATOR AND DENOMINATOR OF BASIC AND DILUTED NET INCOME (LOSS) PER SHARE</w:t>
      </w:r>
    </w:p>
    <w:tbl>
      <w:tblPr>
        <w:tblW w:w="10205" w:type="dxa"/>
        <w:jc w:val="left"/>
        <w:tblInd w:w="0" w:type="dxa"/>
        <w:tblLayout w:type="fixed"/>
        <w:tblCellMar>
          <w:top w:w="0" w:type="dxa"/>
          <w:left w:w="0" w:type="dxa"/>
          <w:bottom w:w="0" w:type="dxa"/>
          <w:right w:w="0" w:type="dxa"/>
        </w:tblCellMar>
      </w:tblPr>
      <w:tblGrid>
        <w:gridCol w:w="4940"/>
        <w:gridCol w:w="60"/>
        <w:gridCol w:w="140"/>
        <w:gridCol w:w="980"/>
        <w:gridCol w:w="95"/>
        <w:gridCol w:w="60"/>
        <w:gridCol w:w="140"/>
        <w:gridCol w:w="1055"/>
        <w:gridCol w:w="95"/>
        <w:gridCol w:w="60"/>
        <w:gridCol w:w="140"/>
        <w:gridCol w:w="980"/>
        <w:gridCol w:w="95"/>
        <w:gridCol w:w="60"/>
        <w:gridCol w:w="140"/>
        <w:gridCol w:w="1055"/>
        <w:gridCol w:w="110"/>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245" w:name="xdx_49F_20260401__20260630_z4oBA0Jphqmg"/>
            <w:bookmarkEnd w:id="245"/>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46" w:name="xdx_49B_20250401__20250630_zGHaYYFPZmo"/>
            <w:bookmarkEnd w:id="246"/>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47" w:name="xdx_493_20260101__20260630_zk0ZOdqBMxw6"/>
            <w:bookmarkEnd w:id="24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48" w:name="xdx_499_20250101__20250630_zlb94jEa6a4j"/>
            <w:bookmarkEnd w:id="248"/>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94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249" w:name="xdx_400_eus-gaap--IncomeLossFromContinui"/>
            <w:bookmarkEnd w:id="249"/>
          </w:p>
        </w:tc>
      </w:tr>
      <w:tr>
        <w:trPr/>
        <w:tc>
          <w:tcPr>
            <w:tcW w:w="4940" w:type="dxa"/>
            <w:tcBorders/>
            <w:shd w:fill="FFFFFF" w:val="clear"/>
            <w:vAlign w:val="center"/>
          </w:tcPr>
          <w:p>
            <w:pPr>
              <w:pStyle w:val="TableContents"/>
              <w:bidi w:val="0"/>
              <w:spacing w:before="0" w:after="283"/>
              <w:jc w:val="left"/>
              <w:rPr/>
            </w:pPr>
            <w:r>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(411,144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500,259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(120,307</w:t>
            </w:r>
          </w:p>
        </w:tc>
        <w:tc>
          <w:tcPr>
            <w:tcW w:w="110" w:type="dxa"/>
            <w:tcBorders/>
            <w:shd w:fill="FFFFFF" w:val="clear"/>
            <w:vAlign w:val="center"/>
          </w:tcPr>
          <w:p>
            <w:pPr>
              <w:pStyle w:val="TableContents"/>
              <w:bidi w:val="0"/>
              <w:spacing w:before="0" w:after="283"/>
              <w:jc w:val="left"/>
              <w:rPr/>
            </w:pPr>
            <w:r>
              <w:rPr/>
              <w:t>)</w:t>
            </w:r>
            <w:bookmarkStart w:id="250" w:name="xdx_40E_eus-gaap--IncomeLossFromDisconti"/>
            <w:bookmarkEnd w:id="250"/>
          </w:p>
        </w:tc>
      </w:tr>
      <w:tr>
        <w:trPr/>
        <w:tc>
          <w:tcPr>
            <w:tcW w:w="4940" w:type="dxa"/>
            <w:tcBorders/>
            <w:shd w:fill="CCEEFF" w:val="clear"/>
            <w:vAlign w:val="center"/>
          </w:tcPr>
          <w:p>
            <w:pPr>
              <w:pStyle w:val="TableContents"/>
              <w:bidi w:val="0"/>
              <w:spacing w:before="0" w:after="283"/>
              <w:jc w:val="left"/>
              <w:rPr/>
            </w:pPr>
            <w:r>
              <w:rPr/>
              <w:t>Net income (loss)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(2,518,657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(5,425,474</w:t>
            </w:r>
          </w:p>
        </w:tc>
        <w:tc>
          <w:tcPr>
            <w:tcW w:w="110" w:type="dxa"/>
            <w:tcBorders/>
            <w:shd w:fill="CCEEFF" w:val="clear"/>
            <w:vAlign w:val="center"/>
          </w:tcPr>
          <w:p>
            <w:pPr>
              <w:pStyle w:val="TableContents"/>
              <w:bidi w:val="0"/>
              <w:spacing w:before="0" w:after="283"/>
              <w:jc w:val="left"/>
              <w:rPr/>
            </w:pPr>
            <w:r>
              <w:rPr/>
              <w:t>)</w:t>
            </w:r>
            <w:bookmarkStart w:id="251" w:name="xdx_407_eus-gaap--IncomeLossFromContinui"/>
            <w:bookmarkEnd w:id="251"/>
          </w:p>
        </w:tc>
      </w:tr>
      <w:tr>
        <w:trPr/>
        <w:tc>
          <w:tcPr>
            <w:tcW w:w="4940" w:type="dxa"/>
            <w:tcBorders/>
            <w:shd w:fill="FFFFFF" w:val="clear"/>
            <w:vAlign w:val="center"/>
          </w:tcPr>
          <w:p>
            <w:pPr>
              <w:pStyle w:val="TableContents"/>
              <w:bidi w:val="0"/>
              <w:spacing w:before="0" w:after="283"/>
              <w:jc w:val="left"/>
              <w:rPr/>
            </w:pPr>
            <w:r>
              <w:rPr/>
              <w:t>Less: Net loss attributable to noncontrolling interests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(4,242</w:t>
            </w:r>
          </w:p>
        </w:tc>
        <w:tc>
          <w:tcPr>
            <w:tcW w:w="110" w:type="dxa"/>
            <w:tcBorders/>
            <w:shd w:fill="FFFFFF" w:val="clear"/>
            <w:vAlign w:val="center"/>
          </w:tcPr>
          <w:p>
            <w:pPr>
              <w:pStyle w:val="TableContents"/>
              <w:bidi w:val="0"/>
              <w:spacing w:before="0" w:after="283"/>
              <w:jc w:val="left"/>
              <w:rPr/>
            </w:pPr>
            <w:r>
              <w:rPr/>
              <w:t>)</w:t>
            </w:r>
            <w:bookmarkStart w:id="252" w:name="xdx_40C_eus-gaap--NetIncomeLoss_iT_mtNIL"/>
            <w:bookmarkEnd w:id="252"/>
          </w:p>
        </w:tc>
      </w:tr>
      <w:tr>
        <w:trPr/>
        <w:tc>
          <w:tcPr>
            <w:tcW w:w="4940" w:type="dxa"/>
            <w:tcBorders/>
            <w:shd w:fill="CCEEFF" w:val="clear"/>
            <w:vAlign w:val="center"/>
          </w:tcPr>
          <w:p>
            <w:pPr>
              <w:pStyle w:val="TableContents"/>
              <w:bidi w:val="0"/>
              <w:spacing w:before="0" w:after="283"/>
              <w:jc w:val="left"/>
              <w:rPr/>
            </w:pPr>
            <w:r>
              <w:rPr/>
              <w:t>Net income (loss) attributable to Sanara MedTech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(452,864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(2,014,362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(5,541,539</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3" w:name="xdx_40E_eus-gaap--WeightedAverageNumberO"/>
            <w:bookmarkEnd w:id="253"/>
          </w:p>
        </w:tc>
      </w:tr>
      <w:tr>
        <w:trPr/>
        <w:tc>
          <w:tcPr>
            <w:tcW w:w="4940" w:type="dxa"/>
            <w:tcBorders/>
            <w:shd w:fill="FFFFFF" w:val="clear"/>
            <w:vAlign w:val="center"/>
          </w:tcPr>
          <w:p>
            <w:pPr>
              <w:pStyle w:val="TableContents"/>
              <w:bidi w:val="0"/>
              <w:spacing w:before="0" w:after="283"/>
              <w:jc w:val="left"/>
              <w:rPr/>
            </w:pPr>
            <w:r>
              <w:rPr/>
              <w:t>Weighted average shares,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8,662,671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8,612,986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8,732,849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8,591,663</w:t>
            </w:r>
          </w:p>
        </w:tc>
        <w:tc>
          <w:tcPr>
            <w:tcW w:w="110" w:type="dxa"/>
            <w:tcBorders/>
            <w:shd w:fill="FFFFFF" w:val="clear"/>
            <w:vAlign w:val="center"/>
          </w:tcPr>
          <w:p>
            <w:pPr>
              <w:pStyle w:val="TableContents"/>
              <w:bidi w:val="0"/>
              <w:spacing w:before="0" w:after="283"/>
              <w:jc w:val="left"/>
              <w:rPr/>
            </w:pPr>
            <w:r>
              <w:rPr/>
              <w:t> </w:t>
            </w:r>
            <w:bookmarkStart w:id="254" w:name="xdx_405_eus-gaap--IncrementalCommonShare"/>
            <w:bookmarkEnd w:id="254"/>
          </w:p>
        </w:tc>
      </w:tr>
      <w:tr>
        <w:trPr/>
        <w:tc>
          <w:tcPr>
            <w:tcW w:w="4940" w:type="dxa"/>
            <w:tcBorders/>
            <w:shd w:fill="CCEEFF" w:val="clear"/>
            <w:vAlign w:val="center"/>
          </w:tcPr>
          <w:p>
            <w:pPr>
              <w:pStyle w:val="TableContents"/>
              <w:bidi w:val="0"/>
              <w:spacing w:before="0" w:after="283"/>
              <w:jc w:val="left"/>
              <w:rPr/>
            </w:pPr>
            <w:r>
              <w:rPr/>
              <w:t>Dilutive effect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5" w:name="xdx_404_ecustom--IncrementalCommonShares"/>
            <w:bookmarkEnd w:id="255"/>
          </w:p>
        </w:tc>
      </w:tr>
      <w:tr>
        <w:trPr/>
        <w:tc>
          <w:tcPr>
            <w:tcW w:w="4940" w:type="dxa"/>
            <w:tcBorders/>
            <w:shd w:fill="FFFFFF" w:val="clear"/>
            <w:vAlign w:val="center"/>
          </w:tcPr>
          <w:p>
            <w:pPr>
              <w:pStyle w:val="TableContents"/>
              <w:bidi w:val="0"/>
              <w:spacing w:before="0" w:after="283"/>
              <w:jc w:val="left"/>
              <w:rPr/>
            </w:pPr>
            <w:r>
              <w:rPr/>
              <w:t>Dilutive effect of unvested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283,061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6" w:name="xdx_409_eus-gaap--WeightedAverageNumberO"/>
            <w:bookmarkEnd w:id="256"/>
          </w:p>
        </w:tc>
      </w:tr>
      <w:tr>
        <w:trPr/>
        <w:tc>
          <w:tcPr>
            <w:tcW w:w="4940" w:type="dxa"/>
            <w:tcBorders/>
            <w:shd w:fill="CCEEFF" w:val="clear"/>
            <w:vAlign w:val="center"/>
          </w:tcPr>
          <w:p>
            <w:pPr>
              <w:pStyle w:val="TableContents"/>
              <w:bidi w:val="0"/>
              <w:spacing w:before="0" w:after="283"/>
              <w:jc w:val="left"/>
              <w:rPr/>
            </w:pPr>
            <w:r>
              <w:rPr/>
              <w:t>Weighted average shares,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8,662,671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8,927,060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8,732,849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8,591,663</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7" w:name="xdx_409_eus-gaap--EarningsPerShareBasicA"/>
            <w:bookmarkEnd w:id="257"/>
          </w:p>
        </w:tc>
      </w:tr>
      <w:tr>
        <w:trPr/>
        <w:tc>
          <w:tcPr>
            <w:tcW w:w="4940" w:type="dxa"/>
            <w:tcBorders/>
            <w:shd w:fill="CCEEFF" w:val="clear"/>
            <w:vAlign w:val="center"/>
          </w:tcPr>
          <w:p>
            <w:pPr>
              <w:pStyle w:val="TableContents"/>
              <w:bidi w:val="0"/>
              <w:spacing w:before="0" w:after="283"/>
              <w:jc w:val="left"/>
              <w:rPr/>
            </w:pPr>
            <w:r>
              <w:rPr/>
              <w:t>Net income (loss) per share,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8" w:name="xdx_40C_eus-gaap--IncomeLossFromContinui"/>
            <w:bookmarkEnd w:id="258"/>
          </w:p>
        </w:tc>
      </w:tr>
      <w:tr>
        <w:trPr/>
        <w:tc>
          <w:tcPr>
            <w:tcW w:w="494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(0.01</w:t>
            </w:r>
          </w:p>
        </w:tc>
        <w:tc>
          <w:tcPr>
            <w:tcW w:w="110" w:type="dxa"/>
            <w:tcBorders/>
            <w:shd w:fill="FFFFFF" w:val="clear"/>
            <w:vAlign w:val="center"/>
          </w:tcPr>
          <w:p>
            <w:pPr>
              <w:pStyle w:val="TableContents"/>
              <w:bidi w:val="0"/>
              <w:spacing w:before="0" w:after="283"/>
              <w:jc w:val="left"/>
              <w:rPr/>
            </w:pPr>
            <w:r>
              <w:rPr/>
              <w:t>)</w:t>
            </w:r>
            <w:bookmarkStart w:id="259" w:name="xdx_405_eus-gaap--IncomeLossFromDisconti"/>
            <w:bookmarkEnd w:id="259"/>
          </w:p>
        </w:tc>
      </w:tr>
      <w:tr>
        <w:trPr/>
        <w:tc>
          <w:tcPr>
            <w:tcW w:w="494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(0.63</w:t>
            </w:r>
          </w:p>
        </w:tc>
        <w:tc>
          <w:tcPr>
            <w:tcW w:w="110" w:type="dxa"/>
            <w:tcBorders/>
            <w:shd w:fill="CCEEFF" w:val="clear"/>
            <w:vAlign w:val="center"/>
          </w:tcPr>
          <w:p>
            <w:pPr>
              <w:pStyle w:val="TableContents"/>
              <w:bidi w:val="0"/>
              <w:spacing w:before="0" w:after="283"/>
              <w:jc w:val="left"/>
              <w:rPr/>
            </w:pPr>
            <w:r>
              <w:rPr/>
              <w:t>)</w:t>
            </w:r>
            <w:bookmarkStart w:id="260" w:name="xdx_40C_eus-gaap--EarningsPerShareBasic_"/>
            <w:bookmarkEnd w:id="260"/>
          </w:p>
        </w:tc>
      </w:tr>
      <w:tr>
        <w:trPr/>
        <w:tc>
          <w:tcPr>
            <w:tcW w:w="4940" w:type="dxa"/>
            <w:tcBorders/>
            <w:shd w:fill="FFFFFF" w:val="clear"/>
            <w:vAlign w:val="center"/>
          </w:tcPr>
          <w:p>
            <w:pPr>
              <w:pStyle w:val="TableContents"/>
              <w:bidi w:val="0"/>
              <w:spacing w:before="0" w:after="283"/>
              <w:jc w:val="left"/>
              <w:rPr/>
            </w:pPr>
            <w:r>
              <w:rPr/>
              <w:t>Net income (loss) per share of common stock, 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(0.64</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1" w:name="xdx_409_eus-gaap--EarningsPerShareDilute"/>
            <w:bookmarkEnd w:id="261"/>
          </w:p>
        </w:tc>
      </w:tr>
      <w:tr>
        <w:trPr/>
        <w:tc>
          <w:tcPr>
            <w:tcW w:w="4940" w:type="dxa"/>
            <w:tcBorders/>
            <w:shd w:fill="FFFFFF" w:val="clear"/>
            <w:vAlign w:val="center"/>
          </w:tcPr>
          <w:p>
            <w:pPr>
              <w:pStyle w:val="TableContents"/>
              <w:bidi w:val="0"/>
              <w:spacing w:before="0" w:after="283"/>
              <w:jc w:val="left"/>
              <w:rPr/>
            </w:pPr>
            <w:r>
              <w:rPr/>
              <w:t>Net income (loss) per share,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2" w:name="xdx_409_eus-gaap--IncomeLossFromContinui"/>
            <w:bookmarkEnd w:id="262"/>
          </w:p>
        </w:tc>
      </w:tr>
      <w:tr>
        <w:trPr/>
        <w:tc>
          <w:tcPr>
            <w:tcW w:w="494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(0.01</w:t>
            </w:r>
          </w:p>
        </w:tc>
        <w:tc>
          <w:tcPr>
            <w:tcW w:w="110" w:type="dxa"/>
            <w:tcBorders/>
            <w:shd w:fill="CCEEFF" w:val="clear"/>
            <w:vAlign w:val="center"/>
          </w:tcPr>
          <w:p>
            <w:pPr>
              <w:pStyle w:val="TableContents"/>
              <w:bidi w:val="0"/>
              <w:spacing w:before="0" w:after="283"/>
              <w:jc w:val="left"/>
              <w:rPr/>
            </w:pPr>
            <w:r>
              <w:rPr/>
              <w:t>)</w:t>
            </w:r>
            <w:bookmarkStart w:id="263" w:name="xdx_408_eus-gaap--IncomeLossFromDisconti"/>
            <w:bookmarkEnd w:id="263"/>
          </w:p>
        </w:tc>
      </w:tr>
      <w:tr>
        <w:trPr/>
        <w:tc>
          <w:tcPr>
            <w:tcW w:w="4940"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(0.63</w:t>
            </w:r>
          </w:p>
        </w:tc>
        <w:tc>
          <w:tcPr>
            <w:tcW w:w="110" w:type="dxa"/>
            <w:tcBorders/>
            <w:shd w:fill="FFFFFF" w:val="clear"/>
            <w:vAlign w:val="center"/>
          </w:tcPr>
          <w:p>
            <w:pPr>
              <w:pStyle w:val="TableContents"/>
              <w:bidi w:val="0"/>
              <w:spacing w:before="0" w:after="283"/>
              <w:jc w:val="left"/>
              <w:rPr/>
            </w:pPr>
            <w:r>
              <w:rPr/>
              <w:t>)</w:t>
            </w:r>
            <w:bookmarkStart w:id="264" w:name="xdx_40D_eus-gaap--EarningsPerShareDilute"/>
            <w:bookmarkEnd w:id="264"/>
          </w:p>
        </w:tc>
      </w:tr>
      <w:tr>
        <w:trPr/>
        <w:tc>
          <w:tcPr>
            <w:tcW w:w="4940" w:type="dxa"/>
            <w:tcBorders/>
            <w:shd w:fill="CCEEFF" w:val="clear"/>
            <w:vAlign w:val="center"/>
          </w:tcPr>
          <w:p>
            <w:pPr>
              <w:pStyle w:val="TableContents"/>
              <w:bidi w:val="0"/>
              <w:spacing w:before="0" w:after="283"/>
              <w:jc w:val="left"/>
              <w:rPr/>
            </w:pPr>
            <w:r>
              <w:rPr/>
              <w:t>Net income (loss) per share of common stock,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(0.64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265" w:name="xdx_8AA_zxcSphj3OF4i"/>
      <w:bookmarkEnd w:id="26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6" w:name="xdx_890_eus-gaap--ScheduleOfAntidilutive"/>
      <w:bookmarkEnd w:id="266"/>
      <w:r>
        <w:rPr>
          <w:rFonts w:ascii="Times New Roman;Times;Serif" w:hAnsi="Times New Roman;Times;Serif"/>
          <w:b w:val="false"/>
          <w:i w:val="false"/>
          <w:caps w:val="false"/>
          <w:smallCaps w:val="false"/>
          <w:sz w:val="20"/>
        </w:rPr>
        <w:t>The following table summarizes the shares of common stock that were potentially issuable but were excluded from the computation of diluted net loss per share of common stock for the periods presented, as such shares would have had an anti-dilutive effect:</w:t>
      </w:r>
    </w:p>
    <w:p>
      <w:pPr>
        <w:pStyle w:val="TextBody"/>
        <w:bidi w:val="0"/>
        <w:spacing w:before="0" w:after="0"/>
        <w:ind w:left="0" w:right="0" w:hanging="0"/>
        <w:jc w:val="both"/>
        <w:rPr>
          <w:caps w:val="false"/>
          <w:smallCaps w:val="false"/>
        </w:rPr>
      </w:pPr>
      <w:r>
        <w:rPr>
          <w:caps w:val="false"/>
          <w:smallCaps w:val="false"/>
        </w:rPr>
        <w:t> </w:t>
      </w:r>
      <w:bookmarkStart w:id="267" w:name="xdx_8B4_zoHOTTmcIF84"/>
      <w:bookmarkEnd w:id="267"/>
      <w:r>
        <w:rPr>
          <w:rFonts w:ascii="Times New Roman;Times;Serif" w:hAnsi="Times New Roman;Times;Serif"/>
          <w:b w:val="false"/>
          <w:i w:val="false"/>
          <w:caps w:val="false"/>
          <w:smallCaps w:val="false"/>
          <w:sz w:val="20"/>
        </w:rPr>
        <w:t>SCHEDULE OF COMPUTATION OF DILUTED NET LOSS PER SHARE</w:t>
      </w:r>
    </w:p>
    <w:tbl>
      <w:tblPr>
        <w:tblW w:w="4380" w:type="dxa"/>
        <w:jc w:val="left"/>
        <w:tblInd w:w="0" w:type="dxa"/>
        <w:tblLayout w:type="fixed"/>
        <w:tblCellMar>
          <w:top w:w="0" w:type="dxa"/>
          <w:left w:w="0" w:type="dxa"/>
          <w:bottom w:w="0" w:type="dxa"/>
          <w:right w:w="0" w:type="dxa"/>
        </w:tblCellMar>
      </w:tblPr>
      <w:tblGrid>
        <w:gridCol w:w="2405"/>
        <w:gridCol w:w="60"/>
        <w:gridCol w:w="60"/>
        <w:gridCol w:w="800"/>
        <w:gridCol w:w="60"/>
        <w:gridCol w:w="60"/>
        <w:gridCol w:w="60"/>
        <w:gridCol w:w="800"/>
        <w:gridCol w:w="75"/>
      </w:tblGrid>
      <w:tr>
        <w:trPr/>
        <w:tc>
          <w:tcPr>
            <w:tcW w:w="24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Stock options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268" w:name="xdx_902_eus-gaap--AntidilutiveSecurities"/>
            <w:bookmarkEnd w:id="268"/>
            <w:r>
              <w:rPr/>
              <w:t>10,218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269" w:name="xdx_905_eus-gaap--AntidilutiveSecurities"/>
            <w:bookmarkEnd w:id="269"/>
            <w:r>
              <w:rPr/>
              <w:t>31,013</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both"/>
              <w:rPr/>
            </w:pPr>
            <w:r>
              <w:rPr/>
              <w:t>Unvested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270" w:name="xdx_907_eus-gaap--AntidilutiveSecurities"/>
            <w:bookmarkEnd w:id="270"/>
            <w:r>
              <w:rPr/>
              <w:t>411,210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271" w:name="xdx_90F_eus-gaap--AntidilutiveSecurities"/>
            <w:bookmarkEnd w:id="271"/>
            <w:r>
              <w:rPr/>
              <w:t>260,377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2" w:name="xdx_F00_zwx0o6tYzx9b"/>
            <w:bookmarkEnd w:id="272"/>
            <w:r>
              <w:rPr>
                <w:rFonts w:ascii="Times New Roman;Times;Serif" w:hAnsi="Times New Roman;Times;Serif"/>
                <w:b w:val="false"/>
                <w:i w:val="false"/>
                <w:caps w:val="false"/>
                <w:smallCaps w:val="false"/>
                <w:sz w:val="20"/>
              </w:rPr>
              <w:t>(1)</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73" w:name="xdx_F1C_zIMcumpsKyO1"/>
            <w:bookmarkEnd w:id="273"/>
            <w:r>
              <w:rPr>
                <w:rFonts w:ascii="Times New Roman;Times;Serif" w:hAnsi="Times New Roman;Times;Serif"/>
                <w:b w:val="false"/>
                <w:i w:val="false"/>
                <w:caps w:val="false"/>
                <w:smallCaps w:val="false"/>
                <w:sz w:val="20"/>
              </w:rPr>
              <w:t>Shares underlying stock options assumed pursuant to the merger agreement with Precision Healing, Inc. (“Precision Healing”) in April 2022 (see Note 3).</w:t>
            </w:r>
          </w:p>
        </w:tc>
      </w:tr>
    </w:tbl>
    <w:p>
      <w:pPr>
        <w:pStyle w:val="TextBody"/>
        <w:bidi w:val="0"/>
        <w:spacing w:before="0" w:after="0"/>
        <w:ind w:left="630" w:right="0" w:hanging="270"/>
        <w:jc w:val="both"/>
        <w:rPr>
          <w:caps w:val="false"/>
          <w:smallCaps w:val="false"/>
        </w:rPr>
      </w:pPr>
      <w:bookmarkStart w:id="274" w:name="xdx_8A7_zPqo094Ovpj3"/>
      <w:bookmarkEnd w:id="274"/>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63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5" w:name="xdx_86B_zEzP6Gx2H8Zj"/>
      <w:bookmarkStart w:id="276" w:name="xdx_849_eus-gaap--RevenueRecognitionPoli"/>
      <w:bookmarkEnd w:id="275"/>
      <w:bookmarkEnd w:id="276"/>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Topic 606, Revenue from Contracts with Customers (“ASC 606”). Revenues are recognized when a purchase order is received from the customer and control of the promised goods or services is transferred to the customer in an amount that reflects the consideration the Company expects to be entitled to receive in exchange for transferring those goods or services. Revenue is recognized based on the following five-step model:</w:t>
      </w:r>
    </w:p>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95"/>
        <w:gridCol w:w="6860"/>
      </w:tblGrid>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with a customer</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180" w:right="0" w:hanging="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this five-step process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Identification of the contract with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purchase orders are generally considered to be contracts under ASC 606. Purchase orders typically identify the specific terms of products to be delivered, create the enforceable rights and obligations of both parties and result in commercial substance. No other forms of contract revenue recognition, such as the completed contract or percentage of completion methods, were utilized by the Company in either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is generally limited to delivery of the requested items to its customers at the agreed upon quantities and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Determination and allocation of the transaction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prices for its products. These prices are effectively agreed to when customers place purchase orders with the Company. Rebates and discounts, if any, are recognized in full at the time of sale as a reduction of net revenue. Allocation of transaction prices is not necessary where only one performance obligation exists. For certain sales transactions, we incur group purchasing organization fees that are based on a contractual percentage of applicable sales and are recorded as a reduction of the revenue for those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Recognition of revenue as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revenues are recognized when a purchase order is received from the customer, the products are delivered, and control of the goods and services passes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7" w:name="xdx_89A_eus-gaap--DisaggregationOfRevenu"/>
      <w:bookmarkEnd w:id="277"/>
      <w:r>
        <w:rPr>
          <w:rFonts w:ascii="Times New Roman;Times;Serif" w:hAnsi="Times New Roman;Times;Serif"/>
          <w:b w:val="false"/>
          <w:i w:val="false"/>
          <w:caps w:val="false"/>
          <w:smallCaps w:val="false"/>
          <w:sz w:val="20"/>
        </w:rPr>
        <w:t>Revenue streams from product sales are summarized below for the periods presented:</w:t>
      </w:r>
    </w:p>
    <w:p>
      <w:pPr>
        <w:pStyle w:val="TextBody"/>
        <w:bidi w:val="0"/>
        <w:spacing w:before="0" w:after="0"/>
        <w:ind w:left="0" w:right="0" w:hanging="0"/>
        <w:jc w:val="both"/>
        <w:rPr>
          <w:caps w:val="false"/>
          <w:smallCaps w:val="false"/>
        </w:rPr>
      </w:pPr>
      <w:r>
        <w:rPr>
          <w:caps w:val="false"/>
          <w:smallCaps w:val="false"/>
        </w:rPr>
        <w:t> </w:t>
      </w:r>
      <w:bookmarkStart w:id="278" w:name="xdx_8B4_zbH8rxtSYnR5"/>
      <w:bookmarkEnd w:id="278"/>
      <w:r>
        <w:rPr>
          <w:rFonts w:ascii="Times New Roman;Times;Serif" w:hAnsi="Times New Roman;Times;Serif"/>
          <w:b w:val="false"/>
          <w:i w:val="false"/>
          <w:caps w:val="false"/>
          <w:smallCaps w:val="false"/>
          <w:sz w:val="20"/>
        </w:rPr>
        <w:t>SCHEDULE OF REVENUE FROM PRODUCT SALES AND ROYALTIES</w:t>
      </w:r>
    </w:p>
    <w:tbl>
      <w:tblPr>
        <w:tblW w:w="7935" w:type="dxa"/>
        <w:jc w:val="left"/>
        <w:tblInd w:w="0" w:type="dxa"/>
        <w:tblLayout w:type="fixed"/>
        <w:tblCellMar>
          <w:top w:w="0" w:type="dxa"/>
          <w:left w:w="0" w:type="dxa"/>
          <w:bottom w:w="0" w:type="dxa"/>
          <w:right w:w="0" w:type="dxa"/>
        </w:tblCellMar>
      </w:tblPr>
      <w:tblGrid>
        <w:gridCol w:w="2480"/>
        <w:gridCol w:w="60"/>
        <w:gridCol w:w="140"/>
        <w:gridCol w:w="1100"/>
        <w:gridCol w:w="60"/>
        <w:gridCol w:w="60"/>
        <w:gridCol w:w="140"/>
        <w:gridCol w:w="1100"/>
        <w:gridCol w:w="60"/>
        <w:gridCol w:w="60"/>
        <w:gridCol w:w="140"/>
        <w:gridCol w:w="1100"/>
        <w:gridCol w:w="60"/>
        <w:gridCol w:w="60"/>
        <w:gridCol w:w="140"/>
        <w:gridCol w:w="1100"/>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9" w:name="xdx_49F_20260401__20260630_zdNOeDzBjWWi"/>
            <w:bookmarkEnd w:id="27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80" w:name="xdx_490_20250401__20250630_zwjpQyd2vAB4"/>
            <w:bookmarkEnd w:id="28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81" w:name="xdx_49C_20260101__20260630_z3yvb5X8EOF1"/>
            <w:bookmarkEnd w:id="28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82" w:name="xdx_499_20250101__20250630_znNdZVZi6pej"/>
            <w:bookmarkEnd w:id="282"/>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bookmarkStart w:id="283" w:name="xdx_40C_eus-gaap--RevenueFromContractWit"/>
            <w:bookmarkEnd w:id="283"/>
          </w:p>
        </w:tc>
      </w:tr>
      <w:tr>
        <w:trPr/>
        <w:tc>
          <w:tcPr>
            <w:tcW w:w="2480" w:type="dxa"/>
            <w:tcBorders/>
            <w:shd w:fill="CCEEFF" w:val="clear"/>
            <w:vAlign w:val="center"/>
          </w:tcPr>
          <w:p>
            <w:pPr>
              <w:pStyle w:val="TableContents"/>
              <w:bidi w:val="0"/>
              <w:spacing w:before="0" w:after="283"/>
              <w:jc w:val="both"/>
              <w:rPr/>
            </w:pPr>
            <w:r>
              <w:rPr/>
              <w:t>Soft tissue repair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25,242,592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22,661,457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50,185,537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43,193,897</w:t>
            </w:r>
          </w:p>
        </w:tc>
        <w:tc>
          <w:tcPr>
            <w:tcW w:w="75" w:type="dxa"/>
            <w:tcBorders/>
            <w:shd w:fill="CCEEFF" w:val="clear"/>
            <w:vAlign w:val="center"/>
          </w:tcPr>
          <w:p>
            <w:pPr>
              <w:pStyle w:val="TableContents"/>
              <w:bidi w:val="0"/>
              <w:spacing w:before="0" w:after="283"/>
              <w:jc w:val="left"/>
              <w:rPr/>
            </w:pPr>
            <w:r>
              <w:rPr/>
              <w:t> </w:t>
            </w:r>
            <w:bookmarkStart w:id="284" w:name="xdx_40F_eus-gaap--RevenueFromContractWit"/>
            <w:bookmarkEnd w:id="284"/>
          </w:p>
        </w:tc>
      </w:tr>
      <w:tr>
        <w:trPr/>
        <w:tc>
          <w:tcPr>
            <w:tcW w:w="2480" w:type="dxa"/>
            <w:tcBorders/>
            <w:shd w:fill="FFFFFF" w:val="clear"/>
            <w:vAlign w:val="center"/>
          </w:tcPr>
          <w:p>
            <w:pPr>
              <w:pStyle w:val="TableContents"/>
              <w:bidi w:val="0"/>
              <w:spacing w:before="0" w:after="283"/>
              <w:jc w:val="both"/>
              <w:rPr/>
            </w:pPr>
            <w:r>
              <w:rPr/>
              <w:t>Bone fusion products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2,894,165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3,142,795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5,749,754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6,044,451</w:t>
            </w:r>
          </w:p>
        </w:tc>
        <w:tc>
          <w:tcPr>
            <w:tcW w:w="75" w:type="dxa"/>
            <w:tcBorders/>
            <w:shd w:fill="FFFFFF" w:val="clear"/>
            <w:vAlign w:val="center"/>
          </w:tcPr>
          <w:p>
            <w:pPr>
              <w:pStyle w:val="TableContents"/>
              <w:bidi w:val="0"/>
              <w:spacing w:before="0" w:after="283"/>
              <w:jc w:val="left"/>
              <w:rPr/>
            </w:pPr>
            <w:r>
              <w:rPr/>
              <w:t> </w:t>
            </w:r>
            <w:bookmarkStart w:id="285" w:name="xdx_405_eus-gaap--RevenueFromContractWit"/>
            <w:bookmarkEnd w:id="285"/>
          </w:p>
        </w:tc>
      </w:tr>
      <w:tr>
        <w:trPr/>
        <w:tc>
          <w:tcPr>
            <w:tcW w:w="2480" w:type="dxa"/>
            <w:tcBorders/>
            <w:shd w:fill="CCEEFF" w:val="clear"/>
            <w:vAlign w:val="center"/>
          </w:tcPr>
          <w:p>
            <w:pPr>
              <w:pStyle w:val="TableContents"/>
              <w:bidi w:val="0"/>
              <w:spacing w:before="0" w:after="283"/>
              <w:jc w:val="both"/>
              <w:rPr>
                <w:b/>
              </w:rPr>
            </w:pPr>
            <w:r>
              <w:rPr>
                <w:b/>
              </w:rPr>
              <w:t>Total Net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28,136,757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25,804,252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55,935,291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49,238,348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6" w:name="xdx_8A6_z52gaUresFKc"/>
      <w:bookmarkEnd w:id="28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generated from the THP segment was </w:t>
      </w:r>
      <w:bookmarkStart w:id="287" w:name="xdx_90A_eus-gaap--DisposalGroupIncluding"/>
      <w:bookmarkEnd w:id="287"/>
      <w:r>
        <w:rPr>
          <w:rFonts w:ascii="Times New Roman;Times;Serif" w:hAnsi="Times New Roman;Times;Serif"/>
          <w:b w:val="false"/>
          <w:i w:val="false"/>
          <w:caps w:val="false"/>
          <w:smallCaps w:val="false"/>
          <w:sz w:val="20"/>
        </w:rPr>
        <w:t>zero and $</w:t>
      </w:r>
      <w:bookmarkStart w:id="288" w:name="xdx_906_eus-gaap--DisposalGroupIncluding"/>
      <w:bookmarkEnd w:id="288"/>
      <w:r>
        <w:rPr>
          <w:rFonts w:ascii="Times New Roman;Times;Serif" w:hAnsi="Times New Roman;Times;Serif"/>
          <w:b w:val="false"/>
          <w:i w:val="false"/>
          <w:caps w:val="false"/>
          <w:smallCaps w:val="false"/>
          <w:sz w:val="20"/>
        </w:rPr>
        <w:t>26,582 for the three months ended June 30, 2026 and 2025, respectively, and $</w:t>
      </w:r>
      <w:bookmarkStart w:id="289" w:name="xdx_904_eus-gaap--DisposalGroupIncluding"/>
      <w:bookmarkEnd w:id="289"/>
      <w:r>
        <w:rPr>
          <w:rFonts w:ascii="Times New Roman;Times;Serif" w:hAnsi="Times New Roman;Times;Serif"/>
          <w:b w:val="false"/>
          <w:i w:val="false"/>
          <w:caps w:val="false"/>
          <w:smallCaps w:val="false"/>
          <w:sz w:val="20"/>
        </w:rPr>
        <w:t>16,358 and $</w:t>
      </w:r>
      <w:bookmarkStart w:id="290" w:name="xdx_900_eus-gaap--DisposalGroupIncluding"/>
      <w:bookmarkEnd w:id="290"/>
      <w:r>
        <w:rPr>
          <w:rFonts w:ascii="Times New Roman;Times;Serif" w:hAnsi="Times New Roman;Times;Serif"/>
          <w:b w:val="false"/>
          <w:i w:val="false"/>
          <w:caps w:val="false"/>
          <w:smallCaps w:val="false"/>
          <w:sz w:val="20"/>
        </w:rPr>
        <w:t>26,582 for the six months ended June 30, 2026 and 2025, respectively. The revenue from the THP segment is related to contracts acquired in the CarePICS Acquisition (defined in Note 4 below) and is included in net income (loss) from discontinued operations in the Consolidated Statements of Operations (see Note 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1" w:name="xdx_86D_zyefnLPUztjd"/>
      <w:bookmarkStart w:id="292" w:name="xdx_84D_eus-gaap--CreditLossFinancialIns"/>
      <w:bookmarkEnd w:id="291"/>
      <w:bookmarkEnd w:id="292"/>
      <w:r>
        <w:rPr>
          <w:rFonts w:ascii="Times New Roman;Times;Serif" w:hAnsi="Times New Roman;Times;Serif"/>
          <w:b/>
          <w:i/>
          <w:caps w:val="false"/>
          <w:smallCaps w:val="false"/>
          <w:sz w:val="20"/>
        </w:rPr>
        <w:t>Accounts Receivable Allowances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due within 30 days of invoicing. The Company establishes an allowance for credit losses to provide for an estimate of accounts receivable which are not expected to be collectible. The Company bases the allowance on an assessment of customer creditworthiness, historical payment experience, the age of outstanding receivables and other information as applicable and will record its allowance based on the estimated credit losses. Credit loss reserves are maintained based on a variety of factors, including the length of time receivables are past due and a detailed review of certain individual customer accounts. If circumstances related to customers change, estimates of the recoverability of receivables would be further adjusted. The Company’s accounts receivable balance, net was $</w:t>
      </w:r>
      <w:bookmarkStart w:id="293" w:name="xdx_902_eus-gaap--AccountsReceivableNetC"/>
      <w:bookmarkEnd w:id="293"/>
      <w:r>
        <w:rPr>
          <w:rFonts w:ascii="Times New Roman;Times;Serif" w:hAnsi="Times New Roman;Times;Serif"/>
          <w:b w:val="false"/>
          <w:i w:val="false"/>
          <w:caps w:val="false"/>
          <w:smallCaps w:val="false"/>
          <w:sz w:val="20"/>
        </w:rPr>
        <w:t>12,572,651, $</w:t>
      </w:r>
      <w:bookmarkStart w:id="294" w:name="xdx_90B_eus-gaap--AccountsReceivableNetC"/>
      <w:bookmarkEnd w:id="294"/>
      <w:r>
        <w:rPr>
          <w:rFonts w:ascii="Times New Roman;Times;Serif" w:hAnsi="Times New Roman;Times;Serif"/>
          <w:b w:val="false"/>
          <w:i w:val="false"/>
          <w:caps w:val="false"/>
          <w:smallCaps w:val="false"/>
          <w:sz w:val="20"/>
        </w:rPr>
        <w:t>11,998,075 and $</w:t>
      </w:r>
      <w:bookmarkStart w:id="295" w:name="xdx_90D_eus-gaap--AccountsReceivableNetC"/>
      <w:bookmarkEnd w:id="295"/>
      <w:r>
        <w:rPr>
          <w:rFonts w:ascii="Times New Roman;Times;Serif" w:hAnsi="Times New Roman;Times;Serif"/>
          <w:b w:val="false"/>
          <w:i w:val="false"/>
          <w:caps w:val="false"/>
          <w:smallCaps w:val="false"/>
          <w:sz w:val="20"/>
        </w:rPr>
        <w:t>12,408,819 as of June 30, 2026, December 31, 2025 and December 31, 2024, respectively. The Company recorded credit loss expense of $</w:t>
      </w:r>
      <w:bookmarkStart w:id="296" w:name="xdx_907_eus-gaap--ProvisionForDoubtfulAc"/>
      <w:bookmarkEnd w:id="296"/>
      <w:r>
        <w:rPr>
          <w:rFonts w:ascii="Times New Roman;Times;Serif" w:hAnsi="Times New Roman;Times;Serif"/>
          <w:b w:val="false"/>
          <w:i w:val="false"/>
          <w:caps w:val="false"/>
          <w:smallCaps w:val="false"/>
          <w:sz w:val="20"/>
        </w:rPr>
        <w:t>66,000 and $</w:t>
      </w:r>
      <w:bookmarkStart w:id="297" w:name="xdx_903_eus-gaap--ProvisionForDoubtfulAc"/>
      <w:bookmarkEnd w:id="297"/>
      <w:r>
        <w:rPr>
          <w:rFonts w:ascii="Times New Roman;Times;Serif" w:hAnsi="Times New Roman;Times;Serif"/>
          <w:b w:val="false"/>
          <w:i w:val="false"/>
          <w:caps w:val="false"/>
          <w:smallCaps w:val="false"/>
          <w:sz w:val="20"/>
        </w:rPr>
        <w:t>115,000 during the three months ended June 30, 2026 and 2025, respectively, and $</w:t>
      </w:r>
      <w:bookmarkStart w:id="298" w:name="xdx_901_eus-gaap--ProvisionForDoubtfulAc"/>
      <w:bookmarkEnd w:id="298"/>
      <w:r>
        <w:rPr>
          <w:rFonts w:ascii="Times New Roman;Times;Serif" w:hAnsi="Times New Roman;Times;Serif"/>
          <w:b w:val="false"/>
          <w:i w:val="false"/>
          <w:caps w:val="false"/>
          <w:smallCaps w:val="false"/>
          <w:sz w:val="20"/>
        </w:rPr>
        <w:t>141,000 and $</w:t>
      </w:r>
      <w:bookmarkStart w:id="299" w:name="xdx_900_eus-gaap--ProvisionForDoubtfulAc"/>
      <w:bookmarkEnd w:id="299"/>
      <w:r>
        <w:rPr>
          <w:rFonts w:ascii="Times New Roman;Times;Serif" w:hAnsi="Times New Roman;Times;Serif"/>
          <w:b w:val="false"/>
          <w:i w:val="false"/>
          <w:caps w:val="false"/>
          <w:smallCaps w:val="false"/>
          <w:sz w:val="20"/>
        </w:rPr>
        <w:t>294,034 during the six months ended June 30, 2026 and 2025, respectively. The allowance for credit losses was $</w:t>
      </w:r>
      <w:bookmarkStart w:id="300" w:name="xdx_901_eus-gaap--AllowanceForDoubtfulAc"/>
      <w:bookmarkEnd w:id="300"/>
      <w:r>
        <w:rPr>
          <w:rFonts w:ascii="Times New Roman;Times;Serif" w:hAnsi="Times New Roman;Times;Serif"/>
          <w:b w:val="false"/>
          <w:i w:val="false"/>
          <w:caps w:val="false"/>
          <w:smallCaps w:val="false"/>
          <w:sz w:val="20"/>
        </w:rPr>
        <w:t>1,513,000 at June 30, 2026 and $</w:t>
      </w:r>
      <w:bookmarkStart w:id="301" w:name="xdx_901_eus-gaap--AllowanceForDoubtfulAc"/>
      <w:bookmarkEnd w:id="301"/>
      <w:r>
        <w:rPr>
          <w:rFonts w:ascii="Times New Roman;Times;Serif" w:hAnsi="Times New Roman;Times;Serif"/>
          <w:b w:val="false"/>
          <w:i w:val="false"/>
          <w:caps w:val="false"/>
          <w:smallCaps w:val="false"/>
          <w:sz w:val="20"/>
        </w:rPr>
        <w:t>1,372,000 at December 31, 2025. The Company also establishes other allowances to provide for estimated customer rebates and other expected customer deductions. These allowances totaled $</w:t>
      </w:r>
      <w:bookmarkStart w:id="302" w:name="xdx_908_eus-gaap--AllowanceForDoubtfulAc"/>
      <w:bookmarkEnd w:id="302"/>
      <w:r>
        <w:rPr>
          <w:rFonts w:ascii="Times New Roman;Times;Serif" w:hAnsi="Times New Roman;Times;Serif"/>
          <w:b w:val="false"/>
          <w:i w:val="false"/>
          <w:caps w:val="false"/>
          <w:smallCaps w:val="false"/>
          <w:sz w:val="20"/>
        </w:rPr>
        <w:t xml:space="preserve">5,936 at June 30, 2026 and </w:t>
      </w:r>
      <w:bookmarkStart w:id="303" w:name="xdx_90C_eus-gaap--AllowanceForDoubtfulAc"/>
      <w:bookmarkEnd w:id="303"/>
      <w:r>
        <w:rPr>
          <w:rFonts w:ascii="Times New Roman;Times;Serif" w:hAnsi="Times New Roman;Times;Serif"/>
          <w:b w:val="false"/>
          <w:i w:val="false"/>
          <w:caps w:val="false"/>
          <w:smallCaps w:val="false"/>
          <w:sz w:val="20"/>
        </w:rPr>
        <w:t>zero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4" w:name="xdx_86F_zobiCfyzNhMb"/>
      <w:bookmarkStart w:id="305" w:name="xdx_84E_eus-gaap--InventoryPolicyTextBlo"/>
      <w:bookmarkEnd w:id="304"/>
      <w:bookmarkEnd w:id="305"/>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with cost computed on a first-in, first-out basis. Inventories consist primarily of finished goods and also include an immaterial amount of raw materials and related packaging components. The Company recorded inventory obsolescence expense of $</w:t>
      </w:r>
      <w:bookmarkStart w:id="306" w:name="xdx_902_eus-gaap--InventoryWriteDown_c20"/>
      <w:bookmarkEnd w:id="306"/>
      <w:r>
        <w:rPr>
          <w:rFonts w:ascii="Times New Roman;Times;Serif" w:hAnsi="Times New Roman;Times;Serif"/>
          <w:b w:val="false"/>
          <w:i w:val="false"/>
          <w:caps w:val="false"/>
          <w:smallCaps w:val="false"/>
          <w:sz w:val="20"/>
        </w:rPr>
        <w:t>68,022 and $</w:t>
      </w:r>
      <w:bookmarkStart w:id="307" w:name="xdx_905_eus-gaap--InventoryWriteDown_c20"/>
      <w:bookmarkEnd w:id="307"/>
      <w:r>
        <w:rPr>
          <w:rFonts w:ascii="Times New Roman;Times;Serif" w:hAnsi="Times New Roman;Times;Serif"/>
          <w:b w:val="false"/>
          <w:i w:val="false"/>
          <w:caps w:val="false"/>
          <w:smallCaps w:val="false"/>
          <w:sz w:val="20"/>
        </w:rPr>
        <w:t>172,679 during the three months ended June 30, 2026 and 2025, respectively, and $</w:t>
      </w:r>
      <w:bookmarkStart w:id="308" w:name="xdx_901_eus-gaap--InventoryWriteDown_c20"/>
      <w:bookmarkEnd w:id="308"/>
      <w:r>
        <w:rPr>
          <w:rFonts w:ascii="Times New Roman;Times;Serif" w:hAnsi="Times New Roman;Times;Serif"/>
          <w:b w:val="false"/>
          <w:i w:val="false"/>
          <w:caps w:val="false"/>
          <w:smallCaps w:val="false"/>
          <w:sz w:val="20"/>
        </w:rPr>
        <w:t>130,822 and $</w:t>
      </w:r>
      <w:bookmarkStart w:id="309" w:name="xdx_901_eus-gaap--InventoryWriteDown_c20"/>
      <w:bookmarkEnd w:id="309"/>
      <w:r>
        <w:rPr>
          <w:rFonts w:ascii="Times New Roman;Times;Serif" w:hAnsi="Times New Roman;Times;Serif"/>
          <w:b w:val="false"/>
          <w:i w:val="false"/>
          <w:caps w:val="false"/>
          <w:smallCaps w:val="false"/>
          <w:sz w:val="20"/>
        </w:rPr>
        <w:t>371,957 during the six months ended June 30, 2026 and 2025, respectively. The allowance for obsolete and slow-moving inventory had a balance of $</w:t>
      </w:r>
      <w:bookmarkStart w:id="310" w:name="xdx_90E_eus-gaap--InventoryValuationRese"/>
      <w:bookmarkEnd w:id="310"/>
      <w:r>
        <w:rPr>
          <w:rFonts w:ascii="Times New Roman;Times;Serif" w:hAnsi="Times New Roman;Times;Serif"/>
          <w:b w:val="false"/>
          <w:i w:val="false"/>
          <w:caps w:val="false"/>
          <w:smallCaps w:val="false"/>
          <w:sz w:val="20"/>
        </w:rPr>
        <w:t>490,441 at June 30, 2026 and $</w:t>
      </w:r>
      <w:bookmarkStart w:id="311" w:name="xdx_90E_eus-gaap--InventoryValuationRese"/>
      <w:bookmarkEnd w:id="311"/>
      <w:r>
        <w:rPr>
          <w:rFonts w:ascii="Times New Roman;Times;Serif" w:hAnsi="Times New Roman;Times;Serif"/>
          <w:b w:val="false"/>
          <w:i w:val="false"/>
          <w:caps w:val="false"/>
          <w:smallCaps w:val="false"/>
          <w:sz w:val="20"/>
        </w:rPr>
        <w:t>623,835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2" w:name="xdx_86D_zNBnRL0kgcC8"/>
      <w:bookmarkStart w:id="313" w:name="xdx_84C_eus-gaap--PropertyPlantAndEquipm"/>
      <w:bookmarkEnd w:id="312"/>
      <w:bookmarkEnd w:id="313"/>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is recorded using the straight-line method over the estimated useful lives of the related assets, ranging from two</w:t>
      </w:r>
      <w:bookmarkStart w:id="314" w:name="xdx_90E_eus-gaap--PropertyPlantAndEquipm"/>
      <w:bookmarkEnd w:id="314"/>
      <w:r>
        <w:rPr>
          <w:rFonts w:ascii="Times New Roman;Times;Serif" w:hAnsi="Times New Roman;Times;Serif"/>
          <w:b w:val="false"/>
          <w:i w:val="false"/>
          <w:caps w:val="false"/>
          <w:smallCaps w:val="false"/>
          <w:sz w:val="20"/>
        </w:rPr>
        <w:t xml:space="preserve">2 to </w:t>
      </w:r>
      <w:bookmarkStart w:id="315" w:name="xdx_90F_eus-gaap--PropertyPlantAndEquipm"/>
      <w:bookmarkEnd w:id="315"/>
      <w:r>
        <w:rPr>
          <w:rFonts w:ascii="Times New Roman;Times;Serif" w:hAnsi="Times New Roman;Times;Serif"/>
          <w:b w:val="false"/>
          <w:i w:val="false"/>
          <w:caps w:val="false"/>
          <w:smallCaps w:val="false"/>
          <w:sz w:val="20"/>
        </w:rPr>
        <w:t>ten years. Below is a summary of property and equipment for the periods presented:</w:t>
      </w:r>
    </w:p>
    <w:p>
      <w:pPr>
        <w:pStyle w:val="TextBody"/>
        <w:bidi w:val="0"/>
        <w:spacing w:before="0" w:after="0"/>
        <w:ind w:left="0" w:right="0" w:hanging="0"/>
        <w:jc w:val="both"/>
        <w:rPr>
          <w:caps w:val="false"/>
          <w:smallCaps w:val="false"/>
        </w:rPr>
      </w:pPr>
      <w:bookmarkStart w:id="316" w:name="xdx_890_eus-gaap--PropertyPlantAndEquipm"/>
      <w:bookmarkEnd w:id="316"/>
      <w:r>
        <w:rPr>
          <w:caps w:val="false"/>
          <w:smallCaps w:val="false"/>
        </w:rPr>
        <w:t> </w:t>
      </w:r>
      <w:bookmarkStart w:id="317" w:name="xdx_8B2_zXPIy2irMPm1"/>
      <w:bookmarkEnd w:id="317"/>
      <w:r>
        <w:rPr>
          <w:rFonts w:ascii="Times New Roman;Times;Serif" w:hAnsi="Times New Roman;Times;Serif"/>
          <w:b w:val="false"/>
          <w:i w:val="false"/>
          <w:caps w:val="false"/>
          <w:smallCaps w:val="false"/>
          <w:sz w:val="20"/>
        </w:rPr>
        <w:t>SCHEDULE OF PROPERTY AND EQUIPMENT</w:t>
      </w:r>
    </w:p>
    <w:tbl>
      <w:tblPr>
        <w:tblW w:w="6904" w:type="dxa"/>
        <w:jc w:val="left"/>
        <w:tblInd w:w="0" w:type="dxa"/>
        <w:tblLayout w:type="fixed"/>
        <w:tblCellMar>
          <w:top w:w="0" w:type="dxa"/>
          <w:left w:w="0" w:type="dxa"/>
          <w:bottom w:w="0" w:type="dxa"/>
          <w:right w:w="0" w:type="dxa"/>
        </w:tblCellMar>
      </w:tblPr>
      <w:tblGrid>
        <w:gridCol w:w="2975"/>
        <w:gridCol w:w="60"/>
        <w:gridCol w:w="1010"/>
        <w:gridCol w:w="60"/>
        <w:gridCol w:w="140"/>
        <w:gridCol w:w="980"/>
        <w:gridCol w:w="95"/>
        <w:gridCol w:w="60"/>
        <w:gridCol w:w="176"/>
        <w:gridCol w:w="1238"/>
        <w:gridCol w:w="110"/>
      </w:tblGrid>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tc>
        <w:tc>
          <w:tcPr>
            <w:tcW w:w="60" w:type="dxa"/>
            <w:tcBorders/>
            <w:vAlign w:val="center"/>
          </w:tcPr>
          <w:p>
            <w:pPr>
              <w:pStyle w:val="TableContents"/>
              <w:bidi w:val="0"/>
              <w:spacing w:before="0" w:after="283"/>
              <w:jc w:val="center"/>
              <w:rPr/>
            </w:pPr>
            <w:r>
              <w:rPr/>
              <w:t> </w:t>
            </w:r>
            <w:bookmarkStart w:id="318" w:name="xdx_49D_20260630_z5Qpc8RzTvKe"/>
            <w:bookmarkEnd w:id="318"/>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19" w:name="xdx_498_20251231_zXT0uP0yjdT7"/>
            <w:bookmarkEnd w:id="319"/>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center"/>
              <w:rPr/>
            </w:pPr>
            <w:r>
              <w:rPr/>
              <w:t> </w:t>
            </w:r>
            <w:bookmarkStart w:id="320" w:name="xdx_405_eus-gaap--PropertyPlantAndEquipm"/>
            <w:bookmarkEnd w:id="320"/>
          </w:p>
        </w:tc>
      </w:tr>
      <w:tr>
        <w:trPr/>
        <w:tc>
          <w:tcPr>
            <w:tcW w:w="2975" w:type="dxa"/>
            <w:tcBorders/>
            <w:shd w:fill="CCEEFF" w:val="clear"/>
            <w:vAlign w:val="center"/>
          </w:tcPr>
          <w:p>
            <w:pPr>
              <w:pStyle w:val="TableContents"/>
              <w:bidi w:val="0"/>
              <w:spacing w:before="0" w:after="283"/>
              <w:jc w:val="both"/>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bookmarkStart w:id="321" w:name="xdx_907_eus-gaap--PropertyPlantAndEquipm"/>
            <w:bookmarkEnd w:id="321"/>
            <w:r>
              <w:rPr/>
              <w:t>5-</w:t>
            </w:r>
            <w:bookmarkStart w:id="322" w:name="xdx_90A_eus-gaap--PropertyPlantAndEquipm"/>
            <w:bookmarkEnd w:id="322"/>
            <w:r>
              <w:rPr/>
              <w:t>10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353,014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377,011</w:t>
            </w:r>
          </w:p>
        </w:tc>
        <w:tc>
          <w:tcPr>
            <w:tcW w:w="110" w:type="dxa"/>
            <w:tcBorders/>
            <w:shd w:fill="CCEEFF" w:val="clear"/>
            <w:vAlign w:val="center"/>
          </w:tcPr>
          <w:p>
            <w:pPr>
              <w:pStyle w:val="TableContents"/>
              <w:bidi w:val="0"/>
              <w:spacing w:before="0" w:after="283"/>
              <w:jc w:val="left"/>
              <w:rPr/>
            </w:pPr>
            <w:r>
              <w:rPr/>
              <w:t> </w:t>
            </w:r>
            <w:bookmarkStart w:id="323" w:name="xdx_405_eus-gaap--PropertyPlantAndEquipm"/>
            <w:bookmarkEnd w:id="323"/>
          </w:p>
        </w:tc>
      </w:tr>
      <w:tr>
        <w:trPr/>
        <w:tc>
          <w:tcPr>
            <w:tcW w:w="2975" w:type="dxa"/>
            <w:tcBorders/>
            <w:shd w:fill="FFFFFF" w:val="clear"/>
            <w:vAlign w:val="center"/>
          </w:tcPr>
          <w:p>
            <w:pPr>
              <w:pStyle w:val="TableContents"/>
              <w:bidi w:val="0"/>
              <w:spacing w:before="0" w:after="283"/>
              <w:jc w:val="both"/>
              <w:rPr/>
            </w:pPr>
            <w:r>
              <w:rPr/>
              <w:t>Office equipment</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bookmarkStart w:id="324" w:name="xdx_90A_eus-gaap--PropertyPlantAndEquipm"/>
            <w:bookmarkEnd w:id="324"/>
            <w:r>
              <w:rPr/>
              <w:t>3-</w:t>
            </w:r>
            <w:bookmarkStart w:id="325" w:name="xdx_901_eus-gaap--PropertyPlantAndEquipm"/>
            <w:bookmarkEnd w:id="325"/>
            <w:r>
              <w:rPr/>
              <w:t>7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290,489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270,621</w:t>
            </w:r>
          </w:p>
        </w:tc>
        <w:tc>
          <w:tcPr>
            <w:tcW w:w="110" w:type="dxa"/>
            <w:tcBorders/>
            <w:shd w:fill="FFFFFF" w:val="clear"/>
            <w:vAlign w:val="center"/>
          </w:tcPr>
          <w:p>
            <w:pPr>
              <w:pStyle w:val="TableContents"/>
              <w:bidi w:val="0"/>
              <w:spacing w:before="0" w:after="283"/>
              <w:jc w:val="left"/>
              <w:rPr/>
            </w:pPr>
            <w:r>
              <w:rPr/>
              <w:t> </w:t>
            </w:r>
            <w:bookmarkStart w:id="326" w:name="xdx_403_eus-gaap--PropertyPlantAndEquipm"/>
            <w:bookmarkEnd w:id="326"/>
          </w:p>
        </w:tc>
      </w:tr>
      <w:tr>
        <w:trPr/>
        <w:tc>
          <w:tcPr>
            <w:tcW w:w="297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bookmarkStart w:id="327" w:name="xdx_908_eus-gaap--PropertyPlantAndEquipm"/>
            <w:bookmarkEnd w:id="327"/>
            <w:r>
              <w:rPr/>
              <w:t>2-</w:t>
            </w:r>
            <w:bookmarkStart w:id="328" w:name="xdx_90C_eus-gaap--PropertyPlantAndEquipm"/>
            <w:bookmarkEnd w:id="328"/>
            <w:r>
              <w:rPr/>
              <w:t>5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259,958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231,022</w:t>
            </w:r>
          </w:p>
        </w:tc>
        <w:tc>
          <w:tcPr>
            <w:tcW w:w="110" w:type="dxa"/>
            <w:tcBorders/>
            <w:shd w:fill="CCEEFF" w:val="clear"/>
            <w:vAlign w:val="center"/>
          </w:tcPr>
          <w:p>
            <w:pPr>
              <w:pStyle w:val="TableContents"/>
              <w:bidi w:val="0"/>
              <w:spacing w:before="0" w:after="283"/>
              <w:jc w:val="left"/>
              <w:rPr/>
            </w:pPr>
            <w:r>
              <w:rPr/>
              <w:t> </w:t>
            </w:r>
            <w:bookmarkStart w:id="329" w:name="xdx_405_eus-gaap--PropertyPlantAndEquipm"/>
            <w:bookmarkEnd w:id="329"/>
          </w:p>
        </w:tc>
      </w:tr>
      <w:tr>
        <w:trPr/>
        <w:tc>
          <w:tcPr>
            <w:tcW w:w="2975" w:type="dxa"/>
            <w:tcBorders/>
            <w:shd w:fill="FFFFFF" w:val="clear"/>
            <w:vAlign w:val="center"/>
          </w:tcPr>
          <w:p>
            <w:pPr>
              <w:pStyle w:val="TableContents"/>
              <w:bidi w:val="0"/>
              <w:spacing w:before="0" w:after="283"/>
              <w:jc w:val="both"/>
              <w:rPr/>
            </w:pPr>
            <w:r>
              <w:rPr/>
              <w:t>Computers</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bookmarkStart w:id="330" w:name="xdx_905_eus-gaap--PropertyPlantAndEquipm"/>
            <w:bookmarkEnd w:id="330"/>
            <w:r>
              <w:rPr/>
              <w:t>3-</w:t>
            </w:r>
            <w:bookmarkStart w:id="331" w:name="xdx_900_eus-gaap--PropertyPlantAndEquipm"/>
            <w:bookmarkEnd w:id="331"/>
            <w:r>
              <w:rPr/>
              <w:t>5 years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237,040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251,180</w:t>
            </w:r>
          </w:p>
        </w:tc>
        <w:tc>
          <w:tcPr>
            <w:tcW w:w="110" w:type="dxa"/>
            <w:tcBorders/>
            <w:shd w:fill="FFFFFF" w:val="clear"/>
            <w:vAlign w:val="center"/>
          </w:tcPr>
          <w:p>
            <w:pPr>
              <w:pStyle w:val="TableContents"/>
              <w:bidi w:val="0"/>
              <w:spacing w:before="0" w:after="283"/>
              <w:jc w:val="left"/>
              <w:rPr/>
            </w:pPr>
            <w:r>
              <w:rPr/>
              <w:t> </w:t>
            </w:r>
            <w:bookmarkStart w:id="332" w:name="xdx_401_eus-gaap--PropertyPlantAndEquipm"/>
            <w:bookmarkEnd w:id="332"/>
          </w:p>
        </w:tc>
      </w:tr>
      <w:tr>
        <w:trPr/>
        <w:tc>
          <w:tcPr>
            <w:tcW w:w="2975" w:type="dxa"/>
            <w:tcBorders/>
            <w:shd w:fill="CCEEFF" w:val="clear"/>
            <w:vAlign w:val="center"/>
          </w:tcPr>
          <w:p>
            <w:pPr>
              <w:pStyle w:val="TableContents"/>
              <w:bidi w:val="0"/>
              <w:spacing w:before="0" w:after="283"/>
              <w:jc w:val="both"/>
              <w:rPr>
                <w:b w:val="false"/>
              </w:rPr>
            </w:pPr>
            <w:r>
              <w:rPr>
                <w:b w:val="false"/>
              </w:rPr>
              <w:t>Property and equipment, gross</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1,140,501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1,129,834</w:t>
            </w:r>
          </w:p>
        </w:tc>
        <w:tc>
          <w:tcPr>
            <w:tcW w:w="110" w:type="dxa"/>
            <w:tcBorders/>
            <w:shd w:fill="CCEEFF" w:val="clear"/>
            <w:vAlign w:val="center"/>
          </w:tcPr>
          <w:p>
            <w:pPr>
              <w:pStyle w:val="TableContents"/>
              <w:bidi w:val="0"/>
              <w:spacing w:before="0" w:after="283"/>
              <w:jc w:val="left"/>
              <w:rPr/>
            </w:pPr>
            <w:r>
              <w:rPr/>
              <w:t> </w:t>
            </w:r>
            <w:bookmarkStart w:id="333" w:name="xdx_40B_eus-gaap--AccumulatedDepreciatio"/>
            <w:bookmarkEnd w:id="333"/>
          </w:p>
        </w:tc>
      </w:tr>
      <w:tr>
        <w:trPr/>
        <w:tc>
          <w:tcPr>
            <w:tcW w:w="2975" w:type="dxa"/>
            <w:tcBorders/>
            <w:shd w:fill="FFFFFF" w:val="clear"/>
            <w:vAlign w:val="center"/>
          </w:tcPr>
          <w:p>
            <w:pPr>
              <w:pStyle w:val="TableContents"/>
              <w:bidi w:val="0"/>
              <w:spacing w:before="0" w:after="283"/>
              <w:jc w:val="both"/>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(713,567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(672,872</w:t>
            </w:r>
          </w:p>
        </w:tc>
        <w:tc>
          <w:tcPr>
            <w:tcW w:w="110" w:type="dxa"/>
            <w:tcBorders/>
            <w:shd w:fill="FFFFFF" w:val="clear"/>
            <w:vAlign w:val="center"/>
          </w:tcPr>
          <w:p>
            <w:pPr>
              <w:pStyle w:val="TableContents"/>
              <w:bidi w:val="0"/>
              <w:spacing w:before="0" w:after="283"/>
              <w:jc w:val="left"/>
              <w:rPr/>
            </w:pPr>
            <w:r>
              <w:rPr/>
              <w:t>)</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4" w:name="xdx_408_eus-gaap--PropertyPlantAndEquipm"/>
            <w:bookmarkEnd w:id="334"/>
          </w:p>
        </w:tc>
      </w:tr>
      <w:tr>
        <w:trPr/>
        <w:tc>
          <w:tcPr>
            <w:tcW w:w="2975" w:type="dxa"/>
            <w:tcBorders/>
            <w:shd w:fill="FFFFFF" w:val="clear"/>
            <w:vAlign w:val="center"/>
          </w:tcPr>
          <w:p>
            <w:pPr>
              <w:pStyle w:val="TableContents"/>
              <w:bidi w:val="0"/>
              <w:spacing w:before="0" w:after="283"/>
              <w:jc w:val="both"/>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426,934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456,962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5" w:name="xdx_8AB_zI4jdedfv4l5"/>
      <w:bookmarkEnd w:id="3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related to property and equipment was $</w:t>
      </w:r>
      <w:bookmarkStart w:id="336" w:name="xdx_90C_ecustom--DepreciationOfPropertyP"/>
      <w:bookmarkEnd w:id="336"/>
      <w:r>
        <w:rPr>
          <w:rFonts w:ascii="Times New Roman;Times;Serif" w:hAnsi="Times New Roman;Times;Serif"/>
          <w:b w:val="false"/>
          <w:i w:val="false"/>
          <w:caps w:val="false"/>
          <w:smallCaps w:val="false"/>
          <w:sz w:val="20"/>
        </w:rPr>
        <w:t>35,851 and $</w:t>
      </w:r>
      <w:bookmarkStart w:id="337" w:name="xdx_90C_ecustom--DepreciationOfPropertyP"/>
      <w:bookmarkEnd w:id="337"/>
      <w:r>
        <w:rPr>
          <w:rFonts w:ascii="Times New Roman;Times;Serif" w:hAnsi="Times New Roman;Times;Serif"/>
          <w:b w:val="false"/>
          <w:i w:val="false"/>
          <w:caps w:val="false"/>
          <w:smallCaps w:val="false"/>
          <w:sz w:val="20"/>
        </w:rPr>
        <w:t>45,350 during the three months ended June 30, 2026 and 2025, respectively, and $</w:t>
      </w:r>
      <w:bookmarkStart w:id="338" w:name="xdx_904_ecustom--DepreciationOfPropertyP"/>
      <w:bookmarkEnd w:id="338"/>
      <w:r>
        <w:rPr>
          <w:rFonts w:ascii="Times New Roman;Times;Serif" w:hAnsi="Times New Roman;Times;Serif"/>
          <w:b w:val="false"/>
          <w:i w:val="false"/>
          <w:caps w:val="false"/>
          <w:smallCaps w:val="false"/>
          <w:sz w:val="20"/>
        </w:rPr>
        <w:t>77,704 and $</w:t>
      </w:r>
      <w:bookmarkStart w:id="339" w:name="xdx_900_ecustom--DepreciationOfPropertyP"/>
      <w:bookmarkEnd w:id="339"/>
      <w:r>
        <w:rPr>
          <w:rFonts w:ascii="Times New Roman;Times;Serif" w:hAnsi="Times New Roman;Times;Serif"/>
          <w:b w:val="false"/>
          <w:i w:val="false"/>
          <w:caps w:val="false"/>
          <w:smallCaps w:val="false"/>
          <w:sz w:val="20"/>
        </w:rPr>
        <w:t>91,608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0" w:name="xdx_868_zcr3Qb8j3Eyg"/>
      <w:bookmarkStart w:id="341" w:name="xdx_84C_eus-gaap--InternalUseSoftwarePol"/>
      <w:bookmarkEnd w:id="340"/>
      <w:bookmarkEnd w:id="341"/>
      <w:r>
        <w:rPr>
          <w:rFonts w:ascii="Times New Roman;Times;Serif" w:hAnsi="Times New Roman;Times;Serif"/>
          <w:b/>
          <w:i/>
          <w:caps w:val="false"/>
          <w:smallCaps w:val="false"/>
          <w:sz w:val="20"/>
        </w:rPr>
        <w:t>Internal 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been developing internal use software in conjunction with the development of the now discontinued THP platform. The development phase of this internal use software started at the beginning of January 2025, and it was in the development phase until the discontinuation of THP in mid-September 2025. The Company accounted for costs incurred to develop or acquire computer software for internal use in accordance with ASC Topic 350-40, Intangibles – Goodwill and Other (“ASC 350-40”). The Company capitalized costs incurred during the application development stage, which generally included employee compensation and benefits costs as well as third-party developer fees to design the software configuration and interfaces, coding, installation and testing. Therefore, under ASC 350-40, the project included capitalizable costs of employees and external vendors who were developing the application. Capitalized development costs were classified as “Property and equipment, net” in the Consolidated Balance Sheets prior to the discontinuation of THP. The project included approximately $</w:t>
      </w:r>
      <w:bookmarkStart w:id="342" w:name="xdx_90A_ecustom--InternalUseSoftwareCost"/>
      <w:bookmarkEnd w:id="342"/>
      <w:r>
        <w:rPr>
          <w:rFonts w:ascii="Times New Roman;Times;Serif" w:hAnsi="Times New Roman;Times;Serif"/>
          <w:b w:val="false"/>
          <w:i w:val="false"/>
          <w:caps w:val="false"/>
          <w:smallCaps w:val="false"/>
          <w:sz w:val="20"/>
        </w:rPr>
        <w:t>4,372,847 in capitalized costs which were fully impaired in mid-September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3" w:name="xdx_863_ziPJl12YTgF4"/>
      <w:bookmarkStart w:id="344" w:name="xdx_84A_eus-gaap--GoodwillAndIntangibleA"/>
      <w:bookmarkEnd w:id="343"/>
      <w:bookmarkEnd w:id="344"/>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excess of purchase price over the fair value of identifiable net assets acquired in business combinations is recorded as goodwill. As of June 30, 2026 and December 31, 2025, all of the Company’s goodwill relates to the acquisition of Scendia Biologics, LLC. Goodwill has an indefinite useful life and is not amortized. Goodwill is tested annually as of December 31 for impairment, or more frequently if circumstances indicate impairment may have occurred. The Company may first perform a qualitative assessment to determine if it is more likely than not that the fair value of the reporting unit is less than the respective carrying value. If it is determined that it is more likely than not that a reporting unit’s fair value is less than its carrying value, then the Company will determine the fair value of the reporting unit and record an impairment charge for the difference between fair value and carrying value (not to exceed the carrying amount of goodwill). </w:t>
      </w:r>
      <w:bookmarkStart w:id="345" w:name="xdx_90E_eus-gaap--GoodwillImpairmentLoss"/>
      <w:bookmarkStart w:id="346" w:name="xdx_905_eus-gaap--GoodwillImpairmentLoss"/>
      <w:bookmarkEnd w:id="345"/>
      <w:bookmarkEnd w:id="346"/>
      <w:r>
        <w:rPr>
          <w:rFonts w:ascii="Times New Roman;Times;Serif" w:hAnsi="Times New Roman;Times;Serif"/>
          <w:b w:val="false"/>
          <w:i w:val="false"/>
          <w:caps w:val="false"/>
          <w:smallCaps w:val="false"/>
          <w:sz w:val="20"/>
        </w:rPr>
        <w:t>No impairment was recorded during the six months ended June 30,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7" w:name="xdx_862_zJHAkCvV9O9d"/>
      <w:bookmarkStart w:id="348" w:name="xdx_847_eus-gaap--GoodwillAndIntangibleA"/>
      <w:bookmarkEnd w:id="347"/>
      <w:bookmarkEnd w:id="348"/>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stated at cost of acquisition less accumulated amortization and impairment loss, if any. Cost of acquisition includes the purchase price and any cost directly attributable to bringing the asset to its working condition for the intended use. The Company amortizes its finite-lived intangible assets on a straight-line basis over the estimated useful life of the respective assets which is generally the life of the related patents or licenses, </w:t>
      </w:r>
      <w:bookmarkStart w:id="349" w:name="xdx_90E_eus-gaap--FiniteLivedIntangibleA"/>
      <w:bookmarkEnd w:id="349"/>
      <w:r>
        <w:rPr>
          <w:rFonts w:ascii="Times New Roman;Times;Serif" w:hAnsi="Times New Roman;Times;Serif"/>
          <w:b w:val="false"/>
          <w:i w:val="false"/>
          <w:caps w:val="false"/>
          <w:smallCaps w:val="false"/>
          <w:sz w:val="20"/>
        </w:rPr>
        <w:t xml:space="preserve">seven years for customer relationships and </w:t>
      </w:r>
      <w:bookmarkStart w:id="350" w:name="xdx_907_eus-gaap--FiniteLivedIntangibleA"/>
      <w:bookmarkEnd w:id="350"/>
      <w:r>
        <w:rPr>
          <w:rFonts w:ascii="Times New Roman;Times;Serif" w:hAnsi="Times New Roman;Times;Serif"/>
          <w:b w:val="false"/>
          <w:i w:val="false"/>
          <w:caps w:val="false"/>
          <w:smallCaps w:val="false"/>
          <w:sz w:val="20"/>
        </w:rPr>
        <w:t>five years for assembled workforces. See Note 5 for more information on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1" w:name="xdx_860_zg5eWsSJmVz5"/>
      <w:bookmarkStart w:id="352" w:name="xdx_843_eus-gaap--ImpairmentOrDisposalOf"/>
      <w:bookmarkEnd w:id="351"/>
      <w:bookmarkEnd w:id="352"/>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Long-lived assets, including certain identifiable intangibles held and used by the Company, are reviewed for impairment whenever events or changes in circumstances indicate that the carrying amount of such assets may not be recoverable. The Company regularly evaluates the recoverability of its long-lived assets based on estimated future cash flows and the estimated liquidation value of such long-lived assets and provides for impairment if such undiscounted cash flows are insufficient to recover the carrying amount of the long-lived assets.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or estimated fair value less cost to sell. </w:t>
      </w:r>
      <w:bookmarkStart w:id="353" w:name="xdx_909_eus-gaap--ImpairmentOfLongLivedA"/>
      <w:bookmarkStart w:id="354" w:name="xdx_90C_eus-gaap--ImpairmentOfLongLivedA"/>
      <w:bookmarkEnd w:id="353"/>
      <w:bookmarkEnd w:id="354"/>
      <w:r>
        <w:rPr>
          <w:rFonts w:ascii="Times New Roman;Times;Serif" w:hAnsi="Times New Roman;Times;Serif"/>
          <w:b w:val="false"/>
          <w:i w:val="false"/>
          <w:caps w:val="false"/>
          <w:smallCaps w:val="false"/>
          <w:sz w:val="20"/>
        </w:rPr>
        <w:t>No impairment was recorded during the six months ended June 30,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5" w:name="xdx_867_zG32Bz4v45be"/>
      <w:bookmarkStart w:id="356" w:name="xdx_84B_eus-gaap--EquityMethodInvestment"/>
      <w:bookmarkEnd w:id="355"/>
      <w:bookmarkEnd w:id="356"/>
      <w:r>
        <w:rPr>
          <w:rFonts w:ascii="Times New Roman;Times;Serif" w:hAnsi="Times New Roman;Times;Serif"/>
          <w:b/>
          <w:i/>
          <w:caps w:val="false"/>
          <w:smallCaps w:val="false"/>
          <w:sz w:val="20"/>
        </w:rPr>
        <w:t>Investments in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equity investments consist of nonmarketable equity securities in privately held companies without readily determinable fair values. Unless accounted for under the equity method of accounting, the investments are reported at cost minus impairment, if any, plus or minus changes resulting from observable price changes in orderly transactions for the identical or similar investment in the same issuer.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the equity method of accounting to investments when it has significant influence, but not controlling interest, in the investee. Judgment regarding the level of influence over each equity method investment includes considering key factors such as ownership interest, representation on the board of directors, participation in policy-making decisions and material intercompany transactions. As discussed further in Note 6, as of June 30, 2026 and December 31, 2025, the Company had </w:t>
      </w:r>
      <w:bookmarkStart w:id="357" w:name="xdx_90F_ecustom--NumberOfinvestments_iI_"/>
      <w:bookmarkStart w:id="358" w:name="xdx_907_ecustom--NumberOfinvestments_iI_"/>
      <w:bookmarkEnd w:id="357"/>
      <w:bookmarkEnd w:id="358"/>
      <w:r>
        <w:rPr>
          <w:rFonts w:ascii="Times New Roman;Times;Serif" w:hAnsi="Times New Roman;Times;Serif"/>
          <w:b w:val="false"/>
          <w:i w:val="false"/>
          <w:caps w:val="false"/>
          <w:smallCaps w:val="false"/>
          <w:sz w:val="20"/>
        </w:rPr>
        <w:t>three investments that were recorded applying the equity method of accounting. The Company’s proportionate share of the net loss resulting from these investments is reported under the line item captioned “Share of losses from equity method investments” in the Company’s Consolidated Statements of Operations. The Company’s equity method investments are adjusted each period for the Company’s share of the investee’s income or loss and dividend paid, if any. The Company classifies distributions received from its equity method investments using the cumulative earnings approach in the Company’s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reviewed the carrying value of its investments and has determined there was </w:t>
      </w:r>
      <w:bookmarkStart w:id="359" w:name="xdx_90C_ecustom--ImpairmentOfInvestment_"/>
      <w:bookmarkStart w:id="360" w:name="xdx_904_ecustom--ImpairmentOfInvestment_"/>
      <w:bookmarkEnd w:id="359"/>
      <w:bookmarkEnd w:id="360"/>
      <w:r>
        <w:rPr>
          <w:rFonts w:ascii="Times New Roman;Times;Serif" w:hAnsi="Times New Roman;Times;Serif"/>
          <w:b w:val="false"/>
          <w:i w:val="false"/>
          <w:caps w:val="false"/>
          <w:smallCaps w:val="false"/>
          <w:sz w:val="20"/>
        </w:rPr>
        <w:t>no impairment or observable price changes as of or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1" w:name="xdx_862_zNLT8jQjr1v8"/>
      <w:bookmarkStart w:id="362" w:name="xdx_849_eus-gaap--FairValueMeasurementPo"/>
      <w:bookmarkEnd w:id="361"/>
      <w:bookmarkEnd w:id="362"/>
      <w:r>
        <w:rPr>
          <w:rFonts w:ascii="Times New Roman;Times;Serif" w:hAnsi="Times New Roman;Times;Serif"/>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defined in ASC Topic 820, Fair Value Measurement (“ASC 820”),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ASC 820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This fair value measurement framework applies to both the initial and subsequent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the fair value hierarchy defined by ASC 820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marketable securities and listed equities.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generally include nonexchange-traded derivatives such as commodity swaps, interest rate swaps, options and collars.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Pricing inputs include significant inputs that are generally less observable from objective sources. These inputs may be used with internally developed methodologies that result in management’s best estimate of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accounts receivable, accounts payable and accrued expenses approximate fair value because of the short-term nature of these instruments. The fair value of the contingent earnout considerations and the acquisition date fair value of goodwill and intangibles related to the acquisitions discussed in Notes 4, 5 and 9 are based on Level 3 inputs. The estimates of fair value are uncertain and changes in any of the estimated inputs used as of the date of this report could result in significant adjustments to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liabilities for contingent consideration were measured at fair value each reporting period, with the acquisition-date fair value included as part of the consideration transferred. The liability for contingent consideration was comprised of the acquisition of assets from the Applied Asset Purchase (defined in Note 9 below) in August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Applied Asset Purchase being accounted for as an asset acquisition and given that this transaction did not include contingent shares, subsequent revaluations of contingent consideration for the Applied Asset Purchase have resulted in adjustments to the contingent consideration liability and the intellectual property intangible asset, with cumulative catch-up amortization adjustments. Following the closing of the Applied Asset Purchase, the Company worked to advance the collagen product related to the incentive payment contemplated under the asset purchase agreement. Despite such efforts, the Company did not receive 510(k) clearance, a U.S. patent was not issued and no net sales were collected for this product contemplated under the asset purchase agreement and the Petito Services Agreement (defined in Note 9 below). After a review of the status of such initiatives, related expenses and the substantial additional expense that would need to be incurred for an uncertain result, and in light of the Company’s refocus in strategy to prioritize expanding existing product platforms, in March 2026, the Company determined not to renew the Petito Services Agreement. On April 20, 2026, the Company delivered written notice to Dr. George D. Petito that the Petito Services Agreement would not be renewed beyond its initial term. The Petito Services Agreement terminated effective August 1, 2026 pursuant to its terms. Since the contingent consideration liability relating to the Applied Asset Purchase is associated with the Petito Services Agreement, the Company determined that the thresholds necessary to trigger a payment on the earnout would not be met and reduced the contingent consideration liability to </w:t>
      </w:r>
      <w:bookmarkStart w:id="363" w:name="xdx_90F_ecustom--ContingentConsideration"/>
      <w:bookmarkEnd w:id="363"/>
      <w:r>
        <w:rPr>
          <w:rFonts w:ascii="Times New Roman;Times;Serif" w:hAnsi="Times New Roman;Times;Serif"/>
          <w:b w:val="false"/>
          <w:i w:val="false"/>
          <w:caps w:val="false"/>
          <w:smallCaps w:val="false"/>
          <w:sz w:val="20"/>
        </w:rPr>
        <w:t>zero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year revaluation of earnout liabilities below is a result of the full write-down of the estimated liability established at the time of the Applied Asset Purchase. The following table sets forth a summary of the changes in fair value for the Level 3 contingent earnout considerations:</w:t>
      </w:r>
    </w:p>
    <w:p>
      <w:pPr>
        <w:pStyle w:val="TextBody"/>
        <w:bidi w:val="0"/>
        <w:spacing w:before="0" w:after="0"/>
        <w:ind w:left="0" w:right="0" w:hanging="0"/>
        <w:jc w:val="both"/>
        <w:rPr>
          <w:caps w:val="false"/>
          <w:smallCaps w:val="false"/>
        </w:rPr>
      </w:pPr>
      <w:bookmarkStart w:id="364" w:name="xdx_89B_eus-gaap--ScheduleOfBusinessAcqu"/>
      <w:bookmarkEnd w:id="364"/>
      <w:r>
        <w:rPr>
          <w:caps w:val="false"/>
          <w:smallCaps w:val="false"/>
        </w:rPr>
        <w:t> </w:t>
      </w:r>
      <w:bookmarkStart w:id="365" w:name="xdx_8BB_zoz03A88wKL2"/>
      <w:bookmarkEnd w:id="365"/>
      <w:r>
        <w:rPr>
          <w:rFonts w:ascii="Times New Roman;Times;Serif" w:hAnsi="Times New Roman;Times;Serif"/>
          <w:b w:val="false"/>
          <w:i w:val="false"/>
          <w:caps w:val="false"/>
          <w:smallCaps w:val="false"/>
          <w:sz w:val="20"/>
        </w:rPr>
        <w:t>SCHEDULE OF CHANGES IN FAIR VALUE FOR CONTINGENT EARNOUT CONSIDERATION</w:t>
      </w:r>
    </w:p>
    <w:tbl>
      <w:tblPr>
        <w:tblW w:w="4280" w:type="dxa"/>
        <w:jc w:val="left"/>
        <w:tblInd w:w="0" w:type="dxa"/>
        <w:tblLayout w:type="fixed"/>
        <w:tblCellMar>
          <w:top w:w="0" w:type="dxa"/>
          <w:left w:w="0" w:type="dxa"/>
          <w:bottom w:w="0" w:type="dxa"/>
          <w:right w:w="0" w:type="dxa"/>
        </w:tblCellMar>
      </w:tblPr>
      <w:tblGrid>
        <w:gridCol w:w="3095"/>
        <w:gridCol w:w="60"/>
        <w:gridCol w:w="140"/>
        <w:gridCol w:w="875"/>
        <w:gridCol w:w="11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6" w:name="xdx_494_20260101__20260630_zu7DnYou5Oo7"/>
            <w:bookmarkEnd w:id="366"/>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bookmarkStart w:id="367" w:name="xdx_40B_eus-gaap--BusinessCombinationCon"/>
            <w:bookmarkEnd w:id="367"/>
          </w:p>
        </w:tc>
      </w:tr>
      <w:tr>
        <w:trPr/>
        <w:tc>
          <w:tcPr>
            <w:tcW w:w="3095" w:type="dxa"/>
            <w:tcBorders/>
            <w:shd w:fill="CCEEFF" w:val="clear"/>
            <w:vAlign w:val="center"/>
          </w:tcPr>
          <w:p>
            <w:pPr>
              <w:pStyle w:val="TableContents"/>
              <w:bidi w:val="0"/>
              <w:spacing w:before="0" w:after="283"/>
              <w:jc w:val="both"/>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235,001</w:t>
            </w:r>
          </w:p>
        </w:tc>
        <w:tc>
          <w:tcPr>
            <w:tcW w:w="110" w:type="dxa"/>
            <w:tcBorders/>
            <w:shd w:fill="CCEEFF" w:val="clear"/>
            <w:vAlign w:val="center"/>
          </w:tcPr>
          <w:p>
            <w:pPr>
              <w:pStyle w:val="TableContents"/>
              <w:bidi w:val="0"/>
              <w:spacing w:before="0" w:after="283"/>
              <w:jc w:val="left"/>
              <w:rPr/>
            </w:pPr>
            <w:r>
              <w:rPr/>
              <w:t> </w:t>
            </w:r>
            <w:bookmarkStart w:id="368" w:name="xdx_403_ecustom--BusinessCombinationCont"/>
            <w:bookmarkEnd w:id="368"/>
          </w:p>
        </w:tc>
      </w:tr>
      <w:tr>
        <w:trPr/>
        <w:tc>
          <w:tcPr>
            <w:tcW w:w="3095" w:type="dxa"/>
            <w:tcBorders/>
            <w:shd w:fill="FFFFFF" w:val="clear"/>
            <w:vAlign w:val="center"/>
          </w:tcPr>
          <w:p>
            <w:pPr>
              <w:pStyle w:val="TableContents"/>
              <w:bidi w:val="0"/>
              <w:spacing w:before="0" w:after="283"/>
              <w:jc w:val="both"/>
              <w:rPr/>
            </w:pPr>
            <w:r>
              <w:rPr/>
              <w:t>Revaluation of earnout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(235,001</w:t>
            </w:r>
          </w:p>
        </w:tc>
        <w:tc>
          <w:tcPr>
            <w:tcW w:w="110" w:type="dxa"/>
            <w:tcBorders/>
            <w:shd w:fill="FFFFFF" w:val="clear"/>
            <w:vAlign w:val="center"/>
          </w:tcPr>
          <w:p>
            <w:pPr>
              <w:pStyle w:val="TableContents"/>
              <w:bidi w:val="0"/>
              <w:spacing w:before="0" w:after="283"/>
              <w:jc w:val="left"/>
              <w:rPr/>
            </w:pPr>
            <w:r>
              <w:rPr/>
              <w:t>)</w:t>
            </w:r>
            <w:bookmarkStart w:id="369" w:name="xdx_402_eus-gaap--BusinessCombinationCon"/>
            <w:bookmarkEnd w:id="369"/>
          </w:p>
        </w:tc>
      </w:tr>
      <w:tr>
        <w:trPr/>
        <w:tc>
          <w:tcPr>
            <w:tcW w:w="3095" w:type="dxa"/>
            <w:tcBorders/>
            <w:shd w:fill="CCEEFF" w:val="clear"/>
            <w:vAlign w:val="center"/>
          </w:tcPr>
          <w:p>
            <w:pPr>
              <w:pStyle w:val="TableContents"/>
              <w:bidi w:val="0"/>
              <w:spacing w:before="0" w:after="283"/>
              <w:jc w:val="both"/>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0" w:name="xdx_8AE_zTfwhbREFAG5"/>
      <w:bookmarkEnd w:id="37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1" w:name="xdx_861_zYH1UCbw4Ixg"/>
      <w:bookmarkStart w:id="372" w:name="xdx_848_eus-gaap--FairValueOfFinancialIn"/>
      <w:bookmarkEnd w:id="371"/>
      <w:bookmarkEnd w:id="372"/>
      <w:r>
        <w:rPr>
          <w:rFonts w:ascii="Times New Roman;Times;Serif" w:hAnsi="Times New Roman;Times;Serif"/>
          <w:b/>
          <w:i/>
          <w:caps w:val="false"/>
          <w:smallCaps w:val="false"/>
          <w:sz w:val="20"/>
        </w:rPr>
        <w:t>Financial Instruments Not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Company’s borrowings under the CRG Term Loan (defined in Note 8 below) was $</w:t>
      </w:r>
      <w:bookmarkStart w:id="373" w:name="xdx_906_eus-gaap--LongTermDebtFairValue_"/>
      <w:bookmarkEnd w:id="373"/>
      <w:r>
        <w:rPr>
          <w:rFonts w:ascii="Times New Roman;Times;Serif" w:hAnsi="Times New Roman;Times;Serif"/>
          <w:b w:val="false"/>
          <w:i w:val="false"/>
          <w:caps w:val="false"/>
          <w:smallCaps w:val="false"/>
          <w:sz w:val="20"/>
        </w:rPr>
        <w:t>56.6 million as of June 30, 2026, compared to the carrying amount, net of debt issuance costs, of $</w:t>
      </w:r>
      <w:bookmarkStart w:id="374" w:name="xdx_908_eus-gaap--DeferredFinanceCostsNe"/>
      <w:bookmarkEnd w:id="374"/>
      <w:r>
        <w:rPr>
          <w:rFonts w:ascii="Times New Roman;Times;Serif" w:hAnsi="Times New Roman;Times;Serif"/>
          <w:b w:val="false"/>
          <w:i w:val="false"/>
          <w:caps w:val="false"/>
          <w:smallCaps w:val="false"/>
          <w:sz w:val="20"/>
        </w:rPr>
        <w:t>46.5 million. The estimated fair value of the CRG Term Loan was $</w:t>
      </w:r>
      <w:bookmarkStart w:id="375" w:name="xdx_904_eus-gaap--LongTermDebtFairValue_"/>
      <w:bookmarkEnd w:id="375"/>
      <w:r>
        <w:rPr>
          <w:rFonts w:ascii="Times New Roman;Times;Serif" w:hAnsi="Times New Roman;Times;Serif"/>
          <w:b w:val="false"/>
          <w:i w:val="false"/>
          <w:caps w:val="false"/>
          <w:smallCaps w:val="false"/>
          <w:sz w:val="20"/>
        </w:rPr>
        <w:t>59.0 million as of December 31, 2025, compared to the carrying amount, net of debt issuance costs, of $</w:t>
      </w:r>
      <w:bookmarkStart w:id="376" w:name="xdx_90D_eus-gaap--DeferredFinanceCostsNe"/>
      <w:bookmarkEnd w:id="376"/>
      <w:r>
        <w:rPr>
          <w:rFonts w:ascii="Times New Roman;Times;Serif" w:hAnsi="Times New Roman;Times;Serif"/>
          <w:b w:val="false"/>
          <w:i w:val="false"/>
          <w:caps w:val="false"/>
          <w:smallCaps w:val="false"/>
          <w:sz w:val="20"/>
        </w:rPr>
        <w:t>46.0 million. The estimate of fair value is generally based on the quoted market prices for similar issuances of long-term debt with the same maturities, which is classified as a Level 2 input.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7" w:name="xdx_86B_zGM3xyRDGCcj"/>
      <w:bookmarkStart w:id="378" w:name="xdx_84F_eus-gaap--IncomeTaxPolicyTextBlo"/>
      <w:bookmarkEnd w:id="377"/>
      <w:bookmarkEnd w:id="378"/>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whereby deferred income taxes are recorded for temporary differences between financial statement carrying amounts and the tax basis of assets and liabilities. Deferred tax assets and liabilities reflect the tax rates expected to be in effect for the years in which the differences are expected to reverse. A valuation allowance is provided if it is more likely than not that some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9" w:name="xdx_864_zKKr3MipRXgl"/>
      <w:bookmarkStart w:id="380" w:name="xdx_84C_eus-gaap--ShareBasedCompensation"/>
      <w:bookmarkEnd w:id="379"/>
      <w:bookmarkEnd w:id="380"/>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to employees and nonemployees in accordance with ASC Topic 718, Compensation – Stock Compensation. Share-based compensation is measured at the grant date, based on the fair value of the award, and is recognized as expense over the stipulated vesting period, if any. The Company estimates the fair value of share-based payments using the Black-Scholes option-pricing model for common stock options and the closing price of the Company’s common stock for grants of common stock, including restricted stock awards.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1" w:name="xdx_868_z4fPq3tnHBvc"/>
      <w:bookmarkStart w:id="382" w:name="xdx_846_eus-gaap--ResearchAndDevelopment"/>
      <w:bookmarkEnd w:id="381"/>
      <w:bookmarkEnd w:id="382"/>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consist of personnel-related expenses, including salaries, share-based compensation and benefits for all personnel directly engaged in R&amp;D activities, contract services, materials, prototype expenses and allocated overhead, which is comprised of compensation and benefits, lease expense and other facilities-related costs. R&amp;D expenses include costs related to enhancements to the Company’s currently available products and additional investments in the product development pipeline. The Company expenses R&amp;D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3" w:name="xdx_86E_z9FBfLrY0cUk"/>
      <w:bookmarkStart w:id="384" w:name="xdx_84D_ecustom--RecentlyAdoptedAccounti"/>
      <w:bookmarkEnd w:id="383"/>
      <w:bookmarkEnd w:id="384"/>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Financial Accounting Standards Board issued Accounting Standards Update 2024-03, Income Statement — Reporting Comprehensive Income — Expense Disaggregation Disclosures (Subtopic 220-40): Disaggregation of Income Statement Expenses (“ASU 2024-03”), which requires new disclosures providing further detail of a company’s income statement expense line items. ASU 2024-03 is effective for fiscal years beginning after December 15, 2026, and interim reporting periods beginning after December 15, 2027. Early adoption is permitted. The Company is currently evaluating the effect of this pronouncement on its disclosures.</w:t>
      </w:r>
    </w:p>
    <w:p>
      <w:pPr>
        <w:pStyle w:val="TextBody"/>
        <w:bidi w:val="0"/>
        <w:spacing w:before="0" w:after="0"/>
        <w:ind w:left="0" w:right="0" w:hanging="0"/>
        <w:jc w:val="both"/>
        <w:rPr>
          <w:caps w:val="false"/>
          <w:smallCaps w:val="false"/>
        </w:rPr>
      </w:pPr>
      <w:bookmarkStart w:id="385" w:name="xdx_850_zaftmjUqnta9"/>
      <w:bookmarkEnd w:id="38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6" w:name="xdx_809_eus-gaap--DisposalGroupsIncludin"/>
      <w:bookmarkEnd w:id="386"/>
      <w:r>
        <w:rPr>
          <w:rFonts w:ascii="Times New Roman;Times;Serif" w:hAnsi="Times New Roman;Times;Serif"/>
          <w:b/>
          <w:i w:val="false"/>
          <w:caps w:val="false"/>
          <w:smallCaps w:val="false"/>
          <w:sz w:val="20"/>
        </w:rPr>
        <w:t xml:space="preserve">NOTE 3 — </w:t>
      </w:r>
      <w:bookmarkStart w:id="387" w:name="xdx_826_zzldfgFLi6cj"/>
      <w:bookmarkEnd w:id="387"/>
      <w:r>
        <w:rPr>
          <w:rFonts w:ascii="Times New Roman;Times;Serif" w:hAnsi="Times New Roman;Times;Serif"/>
          <w:b/>
          <w:i w:val="false"/>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2025, following authorization from the Board of Directors, management initiated a review of strategic options for THP. To facilitate this review, the Company engaged an investment bank to search for potential investors or purchasers. By mid-September 2025, the Company concluded that these efforts were unlikely to succeed and ended its engagement with the investment bank. Persistent losses in the THP segment and a lack of interest from investors led management and the Board of Directors to decide to dispose of THP and terminate a majority of the workforce related to THP operations as of mid-September 2025. In line with this decision, the THP segment met the accounting requirements to be classified under discontinued operations as of September 30, 2025. The process of winding down THP was substantially complete as of December 31, 2025. A minimal amount of costs related to the winding down procedures were incurred through June 30, 2026 and are expected to continue being incurred through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comprise activities that were disposed of, discontinued, or held for sale at the end of the period, representing a strategic business shift having a major effect on the Company’s operations and financial results according to ASC 205, “Presentation of Financial Statements.” In accordance with GAAP, the statements of operations from THP are reported in net income (loss) from discontinued operations in the accompanying Consolidated Statements of Operations for the three and six months ended June 30, 2026 and 2025, and the related assets and liabilities are classified as discontinued operations as of June 30, 2026 and December 31, 2025 in the accompanying Consolidated Balance Sheets. Assets remaining in continuing operations consist of the Company’s cost method investment in Direct Dermatology, Inc. (“DirectDerm”) and computers.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2025, the Company recognized $</w:t>
      </w:r>
      <w:bookmarkStart w:id="388" w:name="xdx_90E_eus-gaap--GainLossOnSalesOfAsset"/>
      <w:bookmarkEnd w:id="388"/>
      <w:r>
        <w:rPr>
          <w:rFonts w:ascii="Times New Roman;Times;Serif" w:hAnsi="Times New Roman;Times;Serif"/>
          <w:b w:val="false"/>
          <w:i w:val="false"/>
          <w:caps w:val="false"/>
          <w:smallCaps w:val="false"/>
          <w:sz w:val="20"/>
        </w:rPr>
        <w:t>26,472,407 of asset impairment charges in connection with the discontinuation of THP, which included $</w:t>
      </w:r>
      <w:bookmarkStart w:id="389" w:name="xdx_907_eus-gaap--IntangibleAssetsNetExc"/>
      <w:bookmarkEnd w:id="389"/>
      <w:r>
        <w:rPr>
          <w:rFonts w:ascii="Times New Roman;Times;Serif" w:hAnsi="Times New Roman;Times;Serif"/>
          <w:b w:val="false"/>
          <w:i w:val="false"/>
          <w:caps w:val="false"/>
          <w:smallCaps w:val="false"/>
          <w:sz w:val="20"/>
        </w:rPr>
        <w:t>18,327,414 of intangible assets net of accumulated amortization, $</w:t>
      </w:r>
      <w:bookmarkStart w:id="390" w:name="xdx_90C_eus-gaap--TangibleAssetImpairmen"/>
      <w:bookmarkEnd w:id="390"/>
      <w:r>
        <w:rPr>
          <w:rFonts w:ascii="Times New Roman;Times;Serif" w:hAnsi="Times New Roman;Times;Serif"/>
          <w:b w:val="false"/>
          <w:i w:val="false"/>
          <w:caps w:val="false"/>
          <w:smallCaps w:val="false"/>
          <w:sz w:val="20"/>
        </w:rPr>
        <w:t>3,772,146 of developed technology and $</w:t>
      </w:r>
      <w:bookmarkStart w:id="391" w:name="xdx_90C_eus-gaap--TangibleAssetImpairmen"/>
      <w:bookmarkEnd w:id="391"/>
      <w:r>
        <w:rPr>
          <w:rFonts w:ascii="Times New Roman;Times;Serif" w:hAnsi="Times New Roman;Times;Serif"/>
          <w:b w:val="false"/>
          <w:i w:val="false"/>
          <w:caps w:val="false"/>
          <w:smallCaps w:val="false"/>
          <w:sz w:val="20"/>
        </w:rPr>
        <w:t>4,372,847 of internal use software. These assets were disposed of and written down to a zero basis, as attempts to sell or find investors in the assets failed and there is no salvage value for the individual assets if sold separately. The intangible assets were primarily related to the Pixalere and Precision Healing transactions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Pixalere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invested $</w:t>
      </w:r>
      <w:bookmarkStart w:id="392" w:name="xdx_90E_eus-gaap--Investments_iI_c202106"/>
      <w:bookmarkEnd w:id="392"/>
      <w:r>
        <w:rPr>
          <w:rFonts w:ascii="Times New Roman;Times;Serif" w:hAnsi="Times New Roman;Times;Serif"/>
          <w:b w:val="false"/>
          <w:i w:val="false"/>
          <w:caps w:val="false"/>
          <w:smallCaps w:val="false"/>
          <w:sz w:val="20"/>
        </w:rPr>
        <w:t xml:space="preserve">2,084,278 to purchase </w:t>
      </w:r>
      <w:bookmarkStart w:id="393" w:name="xdx_901_eus-gaap--StockIssuedDuringPerio"/>
      <w:bookmarkEnd w:id="393"/>
      <w:r>
        <w:rPr>
          <w:rFonts w:ascii="Times New Roman;Times;Serif" w:hAnsi="Times New Roman;Times;Serif"/>
          <w:b w:val="false"/>
          <w:i w:val="false"/>
          <w:caps w:val="false"/>
          <w:smallCaps w:val="false"/>
          <w:sz w:val="20"/>
        </w:rPr>
        <w:t xml:space="preserve">278,587 Class A Preferred Shares (the “Pixalere Shares”) of Canada-based Pixalere Healthcare Inc. (“Pixalere Canada”). The Pixalere Shares were convertible into approximately </w:t>
      </w:r>
      <w:bookmarkStart w:id="394" w:name="xdx_901_eus-gaap--DebtConversionConverte"/>
      <w:bookmarkEnd w:id="394"/>
      <w:r>
        <w:rPr>
          <w:rFonts w:ascii="Times New Roman;Times;Serif" w:hAnsi="Times New Roman;Times;Serif"/>
          <w:b w:val="false"/>
          <w:i w:val="false"/>
          <w:caps w:val="false"/>
          <w:smallCaps w:val="false"/>
          <w:sz w:val="20"/>
        </w:rPr>
        <w:t xml:space="preserve">27.3% of the outstanding equity of Pixalere Canada. Pixalere Canada provides a cloud-based wound care software tool that empowers nurses, specialists and administrators to deliver better care for patients. In connection with the Company’s purchase of the Pixalere Shares, Pixalere Canada granted Pixalere Healthcare USA, LLC (“Pixalere USA”), a subsidiary of the Company, a royalty-free exclusive license to use the Pixalere Canada software and platform (the “Pixalere System”) in the United States. In conjunction with the grant of the license, the Company issued Pixalere Canada a </w:t>
      </w:r>
      <w:bookmarkStart w:id="395" w:name="xdx_902_eus-gaap--EquityMethodInvestment"/>
      <w:bookmarkEnd w:id="395"/>
      <w:r>
        <w:rPr>
          <w:rFonts w:ascii="Times New Roman;Times;Serif" w:hAnsi="Times New Roman;Times;Serif"/>
          <w:b w:val="false"/>
          <w:i w:val="false"/>
          <w:caps w:val="false"/>
          <w:smallCaps w:val="false"/>
          <w:sz w:val="20"/>
        </w:rPr>
        <w:t>27.3% equity ownership interest in Pixalere USA valued at $</w:t>
      </w:r>
      <w:bookmarkStart w:id="396" w:name="xdx_905_eus-gaap--EquityMethodInvestment"/>
      <w:bookmarkEnd w:id="396"/>
      <w:r>
        <w:rPr>
          <w:rFonts w:ascii="Times New Roman;Times;Serif" w:hAnsi="Times New Roman;Times;Serif"/>
          <w:b w:val="false"/>
          <w:i w:val="false"/>
          <w:caps w:val="false"/>
          <w:smallCaps w:val="false"/>
          <w:sz w:val="20"/>
        </w:rPr>
        <w:t>93,879.</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2, 2025, the Company entered into a series of agreements whereby Pixalere Canada redeemed the Company’s Pixalere Shares, and, in exchange, the Company received additional rights related to the Pixalere System to be utilized in the THP technology platform (the “Pixalere Redemption”). Specifically, the Company’s exclusive license agreement for the Pixalere System was amended to provide the Company (i) possession, control and ability to modify a copy of the source code used in the Pixalere System, (ii) the ability to use, license, sublicense or sell the licensed software in additional territories outside of the United States and (iii) all de-identified patient data owned by Pixalere Canada. In addition, as part of the Pixalere Redemption, Pixalere USA redeemed Pixalere Canada’s equity ownership in Pixalere USA.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fair value of assets exchanged in the Pixalere Redemption was not determinable with reliability. Therefore, the Company recorded the transaction as a non-monetary exchange of assets and reclassified the $</w:t>
      </w:r>
      <w:bookmarkStart w:id="397" w:name="xdx_909_eus-gaap--Investments_iI_c202106"/>
      <w:bookmarkEnd w:id="397"/>
      <w:r>
        <w:rPr>
          <w:rFonts w:ascii="Times New Roman;Times;Serif" w:hAnsi="Times New Roman;Times;Serif"/>
          <w:b w:val="false"/>
          <w:i w:val="false"/>
          <w:caps w:val="false"/>
          <w:smallCaps w:val="false"/>
          <w:sz w:val="20"/>
        </w:rPr>
        <w:t xml:space="preserve">2,084,278 carrying value of its investment in the Pixalere Shares as an intangible asset for the amended license agreement. The Company also eliminated the </w:t>
      </w:r>
      <w:bookmarkStart w:id="398" w:name="xdx_902_eus-gaap--EquityMethodInvestment"/>
      <w:bookmarkEnd w:id="398"/>
      <w:r>
        <w:rPr>
          <w:rFonts w:ascii="Times New Roman;Times;Serif" w:hAnsi="Times New Roman;Times;Serif"/>
          <w:b w:val="false"/>
          <w:i w:val="false"/>
          <w:caps w:val="false"/>
          <w:smallCaps w:val="false"/>
          <w:sz w:val="20"/>
        </w:rPr>
        <w:t>27.3% equity ownership interest in Pixalere USA held by Pixalere Canada and recorded a change in noncontrolling interest in the Company’s Consolidated Statements of Changes in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Precision Healing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closed a merger transaction with Precision Healing pursuant to which Precision Healing became a wholly owned subsidiary of the Company. Pursuant to the terms of the merger agreement, holders of Precision Healing common stock and preferred stock, other than the Company, were entitled to receive closing consideration, consisting of $</w:t>
      </w:r>
      <w:bookmarkStart w:id="399" w:name="xdx_906_eus-gaap--AssetAcquisitionConsid"/>
      <w:bookmarkEnd w:id="399"/>
      <w:r>
        <w:rPr>
          <w:rFonts w:ascii="Times New Roman;Times;Serif" w:hAnsi="Times New Roman;Times;Serif"/>
          <w:b w:val="false"/>
          <w:i w:val="false"/>
          <w:caps w:val="false"/>
          <w:smallCaps w:val="false"/>
          <w:sz w:val="20"/>
        </w:rPr>
        <w:t xml:space="preserve">125,966 in cash consideration, which was paid to stockholders who were not accredited investors, </w:t>
      </w:r>
      <w:bookmarkStart w:id="400" w:name="xdx_904_eus-gaap--StockIssuedDuringPerio"/>
      <w:bookmarkEnd w:id="400"/>
      <w:r>
        <w:rPr>
          <w:rFonts w:ascii="Times New Roman;Times;Serif" w:hAnsi="Times New Roman;Times;Serif"/>
          <w:b w:val="false"/>
          <w:i w:val="false"/>
          <w:caps w:val="false"/>
          <w:smallCaps w:val="false"/>
          <w:sz w:val="20"/>
        </w:rPr>
        <w:t>165,738 shares of the Company’s common stock, which was paid only to accredited investors, and the payment in cash of approximately $</w:t>
      </w:r>
      <w:bookmarkStart w:id="401" w:name="xdx_906_eus-gaap--StockIssuedDuringPerio"/>
      <w:bookmarkEnd w:id="401"/>
      <w:r>
        <w:rPr>
          <w:rFonts w:ascii="Times New Roman;Times;Serif" w:hAnsi="Times New Roman;Times;Serif"/>
          <w:b w:val="false"/>
          <w:i w:val="false"/>
          <w:caps w:val="false"/>
          <w:smallCaps w:val="false"/>
          <w:sz w:val="20"/>
        </w:rPr>
        <w:t xml:space="preserve">0.6 million of transaction expenses of Precision Healing. The Company recorded the issuance of the </w:t>
      </w:r>
      <w:bookmarkStart w:id="402" w:name="xdx_90B_eus-gaap--StockIssuedDuringPerio"/>
      <w:bookmarkEnd w:id="402"/>
      <w:r>
        <w:rPr>
          <w:rFonts w:ascii="Times New Roman;Times;Serif" w:hAnsi="Times New Roman;Times;Serif"/>
          <w:b w:val="false"/>
          <w:i w:val="false"/>
          <w:caps w:val="false"/>
          <w:smallCaps w:val="false"/>
          <w:sz w:val="20"/>
        </w:rPr>
        <w:t>165,738 shares to accredited investors and cash payments to nonaccredited investors based on the closing price per share of the Company’s common stock on April 4, 2022, which was $</w:t>
      </w:r>
      <w:bookmarkStart w:id="403" w:name="xdx_90B_eus-gaap--SharePrice_iI_pid_c202"/>
      <w:bookmarkEnd w:id="403"/>
      <w:r>
        <w:rPr>
          <w:rFonts w:ascii="Times New Roman;Times;Serif" w:hAnsi="Times New Roman;Times;Serif"/>
          <w:b w:val="false"/>
          <w:i w:val="false"/>
          <w:caps w:val="false"/>
          <w:smallCaps w:val="false"/>
          <w:sz w:val="20"/>
        </w:rPr>
        <w:t>30.75.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closing of the merger, the Precision Healing outstanding options previously granted under the Precision Healing Inc. 2020 Stock Option and Grant Plan (the “Precision Healing Plan”) converted, pursuant to their terms, into options to acquire an aggregate of </w:t>
      </w:r>
      <w:bookmarkStart w:id="404" w:name="xdx_90D_eus-gaap--ShareBasedCompensation"/>
      <w:bookmarkEnd w:id="404"/>
      <w:r>
        <w:rPr>
          <w:rFonts w:ascii="Times New Roman;Times;Serif" w:hAnsi="Times New Roman;Times;Serif"/>
          <w:b w:val="false"/>
          <w:i w:val="false"/>
          <w:caps w:val="false"/>
          <w:smallCaps w:val="false"/>
          <w:sz w:val="20"/>
        </w:rPr>
        <w:t>144,191 shares of Company common stock with a weighted average exercise price of $</w:t>
      </w:r>
      <w:bookmarkStart w:id="405" w:name="xdx_900_eus-gaap--ShareBasedCompensation"/>
      <w:bookmarkEnd w:id="405"/>
      <w:r>
        <w:rPr>
          <w:rFonts w:ascii="Times New Roman;Times;Serif" w:hAnsi="Times New Roman;Times;Serif"/>
          <w:b w:val="false"/>
          <w:i w:val="false"/>
          <w:caps w:val="false"/>
          <w:smallCaps w:val="false"/>
          <w:sz w:val="20"/>
        </w:rPr>
        <w:t xml:space="preserve">10.71 per share. These options expire between August 2030 and April 2031. In addition, outstanding and unexercised Precision Healing warrants converted into rights to receive warrants to purchase (i) </w:t>
      </w:r>
      <w:bookmarkStart w:id="406" w:name="xdx_909_eus-gaap--ClassOfWarrantOrRightN"/>
      <w:bookmarkEnd w:id="406"/>
      <w:r>
        <w:rPr>
          <w:rFonts w:ascii="Times New Roman;Times;Serif" w:hAnsi="Times New Roman;Times;Serif"/>
          <w:b w:val="false"/>
          <w:i w:val="false"/>
          <w:caps w:val="false"/>
          <w:smallCaps w:val="false"/>
          <w:sz w:val="20"/>
        </w:rPr>
        <w:t>4,424 shares of the Company’s common stock with an initial exercise price of $</w:t>
      </w:r>
      <w:bookmarkStart w:id="407" w:name="xdx_908_eus-gaap--ClassOfWarrantOrRightE"/>
      <w:bookmarkEnd w:id="407"/>
      <w:r>
        <w:rPr>
          <w:rFonts w:ascii="Times New Roman;Times;Serif" w:hAnsi="Times New Roman;Times;Serif"/>
          <w:b w:val="false"/>
          <w:i w:val="false"/>
          <w:caps w:val="false"/>
          <w:smallCaps w:val="false"/>
          <w:sz w:val="20"/>
        </w:rPr>
        <w:t xml:space="preserve">7.32 per share and an expiration date of </w:t>
      </w:r>
      <w:bookmarkStart w:id="408" w:name="xdx_907_eus-gaap--WarrantsAndRightsOutst"/>
      <w:bookmarkEnd w:id="408"/>
      <w:r>
        <w:rPr>
          <w:rFonts w:ascii="Times New Roman;Times;Serif" w:hAnsi="Times New Roman;Times;Serif"/>
          <w:b w:val="false"/>
          <w:i w:val="false"/>
          <w:caps w:val="false"/>
          <w:smallCaps w:val="false"/>
          <w:sz w:val="20"/>
        </w:rPr>
        <w:t xml:space="preserve">April 22, 2031, and (ii) </w:t>
      </w:r>
      <w:bookmarkStart w:id="409" w:name="xdx_906_eus-gaap--ClassOfWarrantOrRightN"/>
      <w:bookmarkEnd w:id="409"/>
      <w:r>
        <w:rPr>
          <w:rFonts w:ascii="Times New Roman;Times;Serif" w:hAnsi="Times New Roman;Times;Serif"/>
          <w:b w:val="false"/>
          <w:i w:val="false"/>
          <w:caps w:val="false"/>
          <w:smallCaps w:val="false"/>
          <w:sz w:val="20"/>
        </w:rPr>
        <w:t>12,301 shares of the Company’s common stock with an initial exercise price of $</w:t>
      </w:r>
      <w:bookmarkStart w:id="410" w:name="xdx_901_eus-gaap--ClassOfWarrantOrRightE"/>
      <w:bookmarkEnd w:id="410"/>
      <w:r>
        <w:rPr>
          <w:rFonts w:ascii="Times New Roman;Times;Serif" w:hAnsi="Times New Roman;Times;Serif"/>
          <w:b w:val="false"/>
          <w:i w:val="false"/>
          <w:caps w:val="false"/>
          <w:smallCaps w:val="false"/>
          <w:sz w:val="20"/>
        </w:rPr>
        <w:t xml:space="preserve">12.05 per share and an expiration date of August 10, 2030. Concurrent with the assumption of the Precision Healing Plan, the Company terminated the ability to offer future awards under the Precision Healing Plan. As of December 31, 2024, all warrants to purchase shares of the Company’s common stock pursuant to the transaction with Precision Healing were exercised. There are </w:t>
      </w:r>
      <w:bookmarkStart w:id="411" w:name="xdx_90C_eus-gaap--ShareBasedCompensation"/>
      <w:bookmarkEnd w:id="411"/>
      <w:r>
        <w:rPr>
          <w:rFonts w:ascii="Times New Roman;Times;Serif" w:hAnsi="Times New Roman;Times;Serif"/>
          <w:b w:val="false"/>
          <w:i w:val="false"/>
          <w:caps w:val="false"/>
          <w:smallCaps w:val="false"/>
          <w:sz w:val="20"/>
        </w:rPr>
        <w:t>10,218 stock options remaining to be exercised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decision to discontinue THP in mid-September 2025, management determined that the Precision Healing and Pixalere intangible assets no longer held value outside of the THP segment. Consequently, the carrying values of the intangible assets were fully impaired and written down to </w:t>
      </w:r>
      <w:bookmarkStart w:id="412" w:name="xdx_90C_ecustom--CarryingValueOfIntangib"/>
      <w:bookmarkEnd w:id="412"/>
      <w:r>
        <w:rPr>
          <w:rFonts w:ascii="Times New Roman;Times;Serif" w:hAnsi="Times New Roman;Times;Serif"/>
          <w:b w:val="false"/>
          <w:i w:val="false"/>
          <w:caps w:val="false"/>
          <w:smallCaps w:val="false"/>
          <w:sz w:val="20"/>
        </w:rPr>
        <w:t>zero as of September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3" w:name="xdx_89F_eus-gaap--ScheduleOfDisposalGrou"/>
      <w:bookmarkEnd w:id="413"/>
      <w:r>
        <w:rPr>
          <w:rFonts w:ascii="Times New Roman;Times;Serif" w:hAnsi="Times New Roman;Times;Serif"/>
          <w:b w:val="false"/>
          <w:i w:val="false"/>
          <w:caps w:val="false"/>
          <w:smallCaps w:val="false"/>
          <w:sz w:val="20"/>
        </w:rPr>
        <w:t>The following table provides the components of assets and liabilities related to discontinued operations that were included in the Company’s Consolidated Balance Sheets for the periods presented:</w:t>
      </w:r>
    </w:p>
    <w:p>
      <w:pPr>
        <w:pStyle w:val="TextBody"/>
        <w:bidi w:val="0"/>
        <w:spacing w:before="0" w:after="0"/>
        <w:ind w:left="0" w:right="0" w:hanging="0"/>
        <w:jc w:val="both"/>
        <w:rPr>
          <w:caps w:val="false"/>
          <w:smallCaps w:val="false"/>
        </w:rPr>
      </w:pPr>
      <w:r>
        <w:rPr>
          <w:caps w:val="false"/>
          <w:smallCaps w:val="false"/>
        </w:rPr>
        <w:t> </w:t>
      </w:r>
      <w:bookmarkStart w:id="414" w:name="xdx_8BF_z5lKKQy2Vq72"/>
      <w:bookmarkEnd w:id="414"/>
      <w:r>
        <w:rPr>
          <w:rFonts w:ascii="Times New Roman;Times;Serif" w:hAnsi="Times New Roman;Times;Serif"/>
          <w:b w:val="false"/>
          <w:i w:val="false"/>
          <w:caps w:val="false"/>
          <w:smallCaps w:val="false"/>
          <w:sz w:val="20"/>
        </w:rPr>
        <w:t>SCHEDULE OF DISCONTINUED OPERATIONS</w:t>
      </w:r>
    </w:p>
    <w:tbl>
      <w:tblPr>
        <w:tblW w:w="7924" w:type="dxa"/>
        <w:jc w:val="left"/>
        <w:tblInd w:w="0" w:type="dxa"/>
        <w:tblLayout w:type="fixed"/>
        <w:tblCellMar>
          <w:top w:w="0" w:type="dxa"/>
          <w:left w:w="0" w:type="dxa"/>
          <w:bottom w:w="0" w:type="dxa"/>
          <w:right w:w="0" w:type="dxa"/>
        </w:tblCellMar>
      </w:tblPr>
      <w:tblGrid>
        <w:gridCol w:w="5315"/>
        <w:gridCol w:w="60"/>
        <w:gridCol w:w="140"/>
        <w:gridCol w:w="800"/>
        <w:gridCol w:w="60"/>
        <w:gridCol w:w="60"/>
        <w:gridCol w:w="176"/>
        <w:gridCol w:w="1238"/>
        <w:gridCol w:w="75"/>
      </w:tblGrid>
      <w:tr>
        <w:trPr/>
        <w:tc>
          <w:tcPr>
            <w:tcW w:w="5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15" w:name="xdx_49B_20260630__us-gaap--IncomeStateme"/>
            <w:bookmarkEnd w:id="415"/>
          </w:p>
        </w:tc>
        <w:tc>
          <w:tcPr>
            <w:tcW w:w="9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16" w:name="xdx_49D_20251231__us-gaap--IncomeStateme"/>
            <w:bookmarkEnd w:id="416"/>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center"/>
              <w:rPr/>
            </w:pPr>
            <w:r>
              <w:rPr/>
              <w:t> </w:t>
            </w:r>
          </w:p>
        </w:tc>
      </w:tr>
      <w:tr>
        <w:trPr/>
        <w:tc>
          <w:tcPr>
            <w:tcW w:w="5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bookmarkStart w:id="417" w:name="xdx_402_eus-gaap--AssetsOfDisposalGroupI"/>
            <w:bookmarkEnd w:id="417"/>
          </w:p>
        </w:tc>
      </w:tr>
      <w:tr>
        <w:trPr/>
        <w:tc>
          <w:tcPr>
            <w:tcW w:w="5315" w:type="dxa"/>
            <w:tcBorders/>
            <w:shd w:fill="CCEEFF" w:val="clear"/>
            <w:vAlign w:val="center"/>
          </w:tcPr>
          <w:p>
            <w:pPr>
              <w:pStyle w:val="TableContents"/>
              <w:bidi w:val="0"/>
              <w:spacing w:before="0" w:after="283"/>
              <w:jc w:val="both"/>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18" w:name="xdx_400_eus-gaap--DisposalGroupIncluding"/>
            <w:bookmarkEnd w:id="418"/>
          </w:p>
        </w:tc>
      </w:tr>
      <w:tr>
        <w:trPr/>
        <w:tc>
          <w:tcPr>
            <w:tcW w:w="5315"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16,200</w:t>
            </w:r>
          </w:p>
        </w:tc>
        <w:tc>
          <w:tcPr>
            <w:tcW w:w="75" w:type="dxa"/>
            <w:tcBorders/>
            <w:shd w:fill="FFFFFF" w:val="clear"/>
            <w:vAlign w:val="center"/>
          </w:tcPr>
          <w:p>
            <w:pPr>
              <w:pStyle w:val="TableContents"/>
              <w:bidi w:val="0"/>
              <w:spacing w:before="0" w:after="283"/>
              <w:jc w:val="left"/>
              <w:rPr/>
            </w:pPr>
            <w:r>
              <w:rPr/>
              <w:t> </w:t>
            </w:r>
            <w:bookmarkStart w:id="419" w:name="xdx_40F_eus-gaap--DisposalGroupIncluding"/>
            <w:bookmarkEnd w:id="419"/>
          </w:p>
        </w:tc>
      </w:tr>
      <w:tr>
        <w:trPr/>
        <w:tc>
          <w:tcPr>
            <w:tcW w:w="5315" w:type="dxa"/>
            <w:tcBorders/>
            <w:shd w:fill="CCEEFF" w:val="clear"/>
            <w:vAlign w:val="center"/>
          </w:tcPr>
          <w:p>
            <w:pPr>
              <w:pStyle w:val="TableContents"/>
              <w:bidi w:val="0"/>
              <w:spacing w:before="0" w:after="283"/>
              <w:jc w:val="both"/>
              <w:rPr/>
            </w:pPr>
            <w:r>
              <w:rPr/>
              <w:t>Prepaids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51,663</w:t>
            </w:r>
          </w:p>
        </w:tc>
        <w:tc>
          <w:tcPr>
            <w:tcW w:w="75" w:type="dxa"/>
            <w:tcBorders/>
            <w:shd w:fill="CCEEFF" w:val="clear"/>
            <w:vAlign w:val="center"/>
          </w:tcPr>
          <w:p>
            <w:pPr>
              <w:pStyle w:val="TableContents"/>
              <w:bidi w:val="0"/>
              <w:spacing w:before="0" w:after="283"/>
              <w:jc w:val="left"/>
              <w:rPr/>
            </w:pPr>
            <w:r>
              <w:rPr/>
              <w:t> </w:t>
            </w:r>
            <w:bookmarkStart w:id="420" w:name="xdx_400_eus-gaap--AssetsOfDisposalGroupI"/>
            <w:bookmarkEnd w:id="420"/>
          </w:p>
        </w:tc>
      </w:tr>
      <w:tr>
        <w:trPr/>
        <w:tc>
          <w:tcPr>
            <w:tcW w:w="5315" w:type="dxa"/>
            <w:tcBorders/>
            <w:shd w:fill="FFFFFF" w:val="clear"/>
            <w:vAlign w:val="center"/>
          </w:tcPr>
          <w:p>
            <w:pPr>
              <w:pStyle w:val="TableContents"/>
              <w:bidi w:val="0"/>
              <w:spacing w:before="0" w:after="283"/>
              <w:jc w:val="both"/>
              <w:rPr>
                <w:b/>
              </w:rPr>
            </w:pPr>
            <w:r>
              <w:rPr>
                <w:b/>
              </w:rPr>
              <w:t>Current assets related to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67,863</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21" w:name="xdx_407_eus-gaap--LiabilitiesOfDisposalG"/>
            <w:bookmarkEnd w:id="421"/>
          </w:p>
        </w:tc>
      </w:tr>
      <w:tr>
        <w:trPr/>
        <w:tc>
          <w:tcPr>
            <w:tcW w:w="5315"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22" w:name="xdx_400_eus-gaap--DisposalGroupIncluding"/>
            <w:bookmarkEnd w:id="422"/>
          </w:p>
        </w:tc>
      </w:tr>
      <w:tr>
        <w:trPr/>
        <w:tc>
          <w:tcPr>
            <w:tcW w:w="53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Accrued bonuses and commissions </w:t>
            </w:r>
            <w:bookmarkStart w:id="423" w:name="xdx_F4D_zkrp6LBTwJhk"/>
            <w:bookmarkEnd w:id="423"/>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342,705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1,125,371</w:t>
            </w:r>
          </w:p>
        </w:tc>
        <w:tc>
          <w:tcPr>
            <w:tcW w:w="75" w:type="dxa"/>
            <w:tcBorders/>
            <w:shd w:fill="CCEEFF" w:val="clear"/>
            <w:vAlign w:val="center"/>
          </w:tcPr>
          <w:p>
            <w:pPr>
              <w:pStyle w:val="TableContents"/>
              <w:bidi w:val="0"/>
              <w:spacing w:before="0" w:after="283"/>
              <w:jc w:val="left"/>
              <w:rPr/>
            </w:pPr>
            <w:r>
              <w:rPr/>
              <w:t> </w:t>
            </w:r>
            <w:bookmarkStart w:id="424" w:name="xdx_400_eus-gaap--DisposalGroupIncluding"/>
            <w:bookmarkEnd w:id="424"/>
          </w:p>
        </w:tc>
      </w:tr>
      <w:tr>
        <w:trPr/>
        <w:tc>
          <w:tcPr>
            <w:tcW w:w="5315" w:type="dxa"/>
            <w:tcBorders/>
            <w:shd w:fill="FFFFFF" w:val="clear"/>
            <w:vAlign w:val="center"/>
          </w:tcPr>
          <w:p>
            <w:pPr>
              <w:pStyle w:val="TableContents"/>
              <w:bidi w:val="0"/>
              <w:spacing w:before="0" w:after="283"/>
              <w:jc w:val="both"/>
              <w:rPr/>
            </w:pPr>
            <w:r>
              <w:rPr/>
              <w:t>Accrued royalties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108,107</w:t>
            </w:r>
          </w:p>
        </w:tc>
        <w:tc>
          <w:tcPr>
            <w:tcW w:w="75" w:type="dxa"/>
            <w:tcBorders/>
            <w:shd w:fill="FFFFFF" w:val="clear"/>
            <w:vAlign w:val="center"/>
          </w:tcPr>
          <w:p>
            <w:pPr>
              <w:pStyle w:val="TableContents"/>
              <w:bidi w:val="0"/>
              <w:spacing w:before="0" w:after="283"/>
              <w:jc w:val="left"/>
              <w:rPr/>
            </w:pPr>
            <w:r>
              <w:rPr/>
              <w:t> </w:t>
            </w:r>
            <w:bookmarkStart w:id="425" w:name="xdx_402_eus-gaap--LiabilitiesOfDisposalG"/>
            <w:bookmarkEnd w:id="425"/>
          </w:p>
        </w:tc>
      </w:tr>
      <w:tr>
        <w:trPr/>
        <w:tc>
          <w:tcPr>
            <w:tcW w:w="5315" w:type="dxa"/>
            <w:tcBorders/>
            <w:shd w:fill="CCEEFF" w:val="clear"/>
            <w:vAlign w:val="center"/>
          </w:tcPr>
          <w:p>
            <w:pPr>
              <w:pStyle w:val="TableContents"/>
              <w:bidi w:val="0"/>
              <w:spacing w:before="0" w:after="283"/>
              <w:jc w:val="both"/>
              <w:rPr>
                <w:b/>
              </w:rPr>
            </w:pPr>
            <w:r>
              <w:rPr>
                <w:b/>
              </w:rPr>
              <w:t>Current liabilities related to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345,585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1,233,478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26" w:name="xdx_F0F_zUTfQIweHk9l"/>
            <w:bookmarkEnd w:id="426"/>
            <w:r>
              <w:rPr>
                <w:rFonts w:ascii="Times New Roman;Times;Serif" w:hAnsi="Times New Roman;Times;Serif"/>
                <w:b w:val="false"/>
                <w:i w:val="false"/>
                <w:caps w:val="false"/>
                <w:smallCaps w:val="false"/>
                <w:sz w:val="20"/>
              </w:rPr>
              <w:t>(1)</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27" w:name="xdx_F19_zFFw7T3ngJja"/>
            <w:bookmarkEnd w:id="427"/>
            <w:r>
              <w:rPr>
                <w:rFonts w:ascii="Times New Roman;Times;Serif" w:hAnsi="Times New Roman;Times;Serif"/>
                <w:b w:val="false"/>
                <w:i w:val="false"/>
                <w:caps w:val="false"/>
                <w:smallCaps w:val="false"/>
                <w:sz w:val="20"/>
              </w:rPr>
              <w:t>Accrued bonuses and commissions is comprised of severance for terminated THP employees.</w:t>
            </w:r>
          </w:p>
        </w:tc>
      </w:tr>
    </w:tbl>
    <w:p>
      <w:pPr>
        <w:pStyle w:val="TextBody"/>
        <w:bidi w:val="0"/>
        <w:spacing w:before="0" w:after="0"/>
        <w:ind w:left="63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included in discontinued operations represent balances that are expected to be collected and expenses to be paid as part of the winding down of THP.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operating results of discontinued operations that were included in the Company’s Consolidated Statements of Operations for the periods presented:</w:t>
      </w:r>
    </w:p>
    <w:p>
      <w:pPr>
        <w:pStyle w:val="TextBody"/>
        <w:bidi w:val="0"/>
        <w:spacing w:before="0" w:after="0"/>
        <w:ind w:left="0" w:right="0" w:hanging="0"/>
        <w:jc w:val="both"/>
        <w:rPr>
          <w:caps w:val="false"/>
          <w:smallCaps w:val="false"/>
        </w:rPr>
      </w:pPr>
      <w:r>
        <w:rPr>
          <w:caps w:val="false"/>
          <w:smallCaps w:val="false"/>
        </w:rPr>
        <w:t> </w:t>
      </w:r>
    </w:p>
    <w:tbl>
      <w:tblPr>
        <w:tblW w:w="9710" w:type="dxa"/>
        <w:jc w:val="left"/>
        <w:tblInd w:w="0" w:type="dxa"/>
        <w:tblLayout w:type="fixed"/>
        <w:tblCellMar>
          <w:top w:w="0" w:type="dxa"/>
          <w:left w:w="0" w:type="dxa"/>
          <w:bottom w:w="0" w:type="dxa"/>
          <w:right w:w="0" w:type="dxa"/>
        </w:tblCellMar>
      </w:tblPr>
      <w:tblGrid>
        <w:gridCol w:w="4775"/>
        <w:gridCol w:w="60"/>
        <w:gridCol w:w="140"/>
        <w:gridCol w:w="755"/>
        <w:gridCol w:w="95"/>
        <w:gridCol w:w="60"/>
        <w:gridCol w:w="140"/>
        <w:gridCol w:w="1055"/>
        <w:gridCol w:w="95"/>
        <w:gridCol w:w="60"/>
        <w:gridCol w:w="140"/>
        <w:gridCol w:w="875"/>
        <w:gridCol w:w="95"/>
        <w:gridCol w:w="60"/>
        <w:gridCol w:w="140"/>
        <w:gridCol w:w="1055"/>
        <w:gridCol w:w="110"/>
      </w:tblGrid>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28" w:name="xdx_497_20260401__20260630_zp5sR9Vjw4B9"/>
            <w:bookmarkEnd w:id="428"/>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29" w:name="xdx_491_20250401__20250630_zam4EBluqIt6"/>
            <w:bookmarkEnd w:id="429"/>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30" w:name="xdx_498_20260101__20260630_zFIjIr6cBjEe"/>
            <w:bookmarkEnd w:id="430"/>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31" w:name="xdx_49A_20250101__20250630_zgJ1JcKO8RTk"/>
            <w:bookmarkEnd w:id="431"/>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bookmarkStart w:id="432" w:name="xdx_402_eus-gaap--DisposalGroupIncluding"/>
            <w:bookmarkEnd w:id="432"/>
          </w:p>
        </w:tc>
      </w:tr>
      <w:tr>
        <w:trPr/>
        <w:tc>
          <w:tcPr>
            <w:tcW w:w="4775" w:type="dxa"/>
            <w:tcBorders/>
            <w:shd w:fill="CCEEFF" w:val="clear"/>
            <w:vAlign w:val="center"/>
          </w:tcPr>
          <w:p>
            <w:pPr>
              <w:pStyle w:val="TableContents"/>
              <w:bidi w:val="0"/>
              <w:spacing w:before="0" w:after="283"/>
              <w:jc w:val="both"/>
              <w:rPr>
                <w:b/>
              </w:rPr>
            </w:pPr>
            <w:r>
              <w:rPr>
                <w:b/>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26,582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75" w:type="dxa"/>
            <w:tcBorders/>
            <w:shd w:fill="CCEEFF" w:val="clear"/>
            <w:vAlign w:val="center"/>
          </w:tcPr>
          <w:p>
            <w:pPr>
              <w:pStyle w:val="TableContents"/>
              <w:bidi w:val="0"/>
              <w:spacing w:before="0" w:after="283"/>
              <w:jc w:val="right"/>
              <w:rPr>
                <w:b/>
              </w:rPr>
            </w:pPr>
            <w:r>
              <w:rPr>
                <w:b/>
              </w:rPr>
              <w:t>16,358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26,582</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33" w:name="xdx_409_ecustom--DisposalGroupIncludingD"/>
            <w:bookmarkEnd w:id="433"/>
          </w:p>
        </w:tc>
      </w:tr>
      <w:tr>
        <w:trPr/>
        <w:tc>
          <w:tcPr>
            <w:tcW w:w="4775"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4" w:name="xdx_40F_eus-gaap--DisposalGroupIncluding"/>
            <w:bookmarkEnd w:id="434"/>
          </w:p>
        </w:tc>
      </w:tr>
      <w:tr>
        <w:trPr/>
        <w:tc>
          <w:tcPr>
            <w:tcW w:w="4775" w:type="dxa"/>
            <w:tcBorders/>
            <w:shd w:fill="FFFFFF" w:val="clear"/>
            <w:vAlign w:val="center"/>
          </w:tcPr>
          <w:p>
            <w:pPr>
              <w:pStyle w:val="TableContents"/>
              <w:bidi w:val="0"/>
              <w:spacing w:before="0" w:after="283"/>
              <w:jc w:val="both"/>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41,720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1,918,875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297,162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4,230,277</w:t>
            </w:r>
          </w:p>
        </w:tc>
        <w:tc>
          <w:tcPr>
            <w:tcW w:w="110" w:type="dxa"/>
            <w:tcBorders/>
            <w:shd w:fill="FFFFFF" w:val="clear"/>
            <w:vAlign w:val="center"/>
          </w:tcPr>
          <w:p>
            <w:pPr>
              <w:pStyle w:val="TableContents"/>
              <w:bidi w:val="0"/>
              <w:spacing w:before="0" w:after="283"/>
              <w:jc w:val="left"/>
              <w:rPr/>
            </w:pPr>
            <w:r>
              <w:rPr/>
              <w:t> </w:t>
            </w:r>
            <w:bookmarkStart w:id="435" w:name="xdx_403_ecustom--DisposalGroupIncludingD"/>
            <w:bookmarkEnd w:id="435"/>
          </w:p>
        </w:tc>
      </w:tr>
      <w:tr>
        <w:trPr/>
        <w:tc>
          <w:tcPr>
            <w:tcW w:w="4775"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364,458</w:t>
            </w:r>
          </w:p>
        </w:tc>
        <w:tc>
          <w:tcPr>
            <w:tcW w:w="110" w:type="dxa"/>
            <w:tcBorders/>
            <w:shd w:fill="CCEEFF" w:val="clear"/>
            <w:vAlign w:val="center"/>
          </w:tcPr>
          <w:p>
            <w:pPr>
              <w:pStyle w:val="TableContents"/>
              <w:bidi w:val="0"/>
              <w:spacing w:before="0" w:after="283"/>
              <w:jc w:val="left"/>
              <w:rPr/>
            </w:pPr>
            <w:r>
              <w:rPr/>
              <w:t> </w:t>
            </w:r>
            <w:bookmarkStart w:id="436" w:name="xdx_40C_eus-gaap--DisposalGroupIncluding"/>
            <w:bookmarkEnd w:id="436"/>
          </w:p>
        </w:tc>
      </w:tr>
      <w:tr>
        <w:trPr/>
        <w:tc>
          <w:tcPr>
            <w:tcW w:w="47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w:t>
            </w:r>
            <w:bookmarkStart w:id="437" w:name="xdx_F41_z0W7wKl0rTug"/>
            <w:bookmarkEnd w:id="437"/>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425,685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856,063</w:t>
            </w:r>
          </w:p>
        </w:tc>
        <w:tc>
          <w:tcPr>
            <w:tcW w:w="110" w:type="dxa"/>
            <w:tcBorders/>
            <w:shd w:fill="FFFFFF" w:val="clear"/>
            <w:vAlign w:val="center"/>
          </w:tcPr>
          <w:p>
            <w:pPr>
              <w:pStyle w:val="TableContents"/>
              <w:bidi w:val="0"/>
              <w:spacing w:before="0" w:after="283"/>
              <w:jc w:val="left"/>
              <w:rPr/>
            </w:pPr>
            <w:r>
              <w:rPr/>
              <w:t> </w:t>
            </w:r>
            <w:bookmarkStart w:id="438" w:name="xdx_400_eus-gaap--DisposalGroupIncluding"/>
            <w:bookmarkEnd w:id="438"/>
          </w:p>
        </w:tc>
      </w:tr>
      <w:tr>
        <w:trPr/>
        <w:tc>
          <w:tcPr>
            <w:tcW w:w="4775" w:type="dxa"/>
            <w:tcBorders/>
            <w:shd w:fill="CCEEFF" w:val="clear"/>
            <w:vAlign w:val="center"/>
          </w:tcPr>
          <w:p>
            <w:pPr>
              <w:pStyle w:val="TableContents"/>
              <w:bidi w:val="0"/>
              <w:spacing w:before="0" w:after="283"/>
              <w:jc w:val="both"/>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41,720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2,545,239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297,162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5,450,798</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39" w:name="xdx_40F_eus-gaap--DisposalGroupIncluding"/>
            <w:bookmarkEnd w:id="439"/>
          </w:p>
        </w:tc>
      </w:tr>
      <w:tr>
        <w:trPr/>
        <w:tc>
          <w:tcPr>
            <w:tcW w:w="4775" w:type="dxa"/>
            <w:tcBorders/>
            <w:shd w:fill="CCEEFF" w:val="clear"/>
            <w:vAlign w:val="center"/>
          </w:tcPr>
          <w:p>
            <w:pPr>
              <w:pStyle w:val="TableContents"/>
              <w:bidi w:val="0"/>
              <w:spacing w:before="0" w:after="283"/>
              <w:jc w:val="both"/>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(41,720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(2,518,657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(280,804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(5,424,216</w:t>
            </w:r>
          </w:p>
        </w:tc>
        <w:tc>
          <w:tcPr>
            <w:tcW w:w="110" w:type="dxa"/>
            <w:tcBorders/>
            <w:shd w:fill="CCEEFF" w:val="clear"/>
            <w:vAlign w:val="center"/>
          </w:tcPr>
          <w:p>
            <w:pPr>
              <w:pStyle w:val="TableContents"/>
              <w:bidi w:val="0"/>
              <w:spacing w:before="0" w:after="283"/>
              <w:jc w:val="left"/>
              <w:rPr>
                <w:b/>
              </w:rPr>
            </w:pPr>
            <w:r>
              <w:rPr>
                <w:b/>
              </w:rPr>
              <w:t>)</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40" w:name="xdx_403_ecustom--DisposalGroupIncludingD"/>
            <w:bookmarkEnd w:id="440"/>
          </w:p>
        </w:tc>
      </w:tr>
      <w:tr>
        <w:trPr/>
        <w:tc>
          <w:tcPr>
            <w:tcW w:w="4775" w:type="dxa"/>
            <w:tcBorders/>
            <w:shd w:fill="CCEEFF" w:val="clear"/>
            <w:vAlign w:val="center"/>
          </w:tcPr>
          <w:p>
            <w:pPr>
              <w:pStyle w:val="TableContents"/>
              <w:bidi w:val="0"/>
              <w:spacing w:before="0" w:after="283"/>
              <w:jc w:val="both"/>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41" w:name="xdx_40D_eus-gaap--DisposalGroupIncluding"/>
            <w:bookmarkEnd w:id="441"/>
          </w:p>
        </w:tc>
      </w:tr>
      <w:tr>
        <w:trPr/>
        <w:tc>
          <w:tcPr>
            <w:tcW w:w="47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income</w:t>
            </w:r>
            <w:bookmarkStart w:id="442" w:name="xdx_F43_znZvnsvqJmT3"/>
            <w:bookmarkEnd w:id="442"/>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43" w:name="xdx_40B_ecustom--DisposalGroupIncludingD"/>
            <w:bookmarkEnd w:id="443"/>
          </w:p>
        </w:tc>
      </w:tr>
      <w:tr>
        <w:trPr/>
        <w:tc>
          <w:tcPr>
            <w:tcW w:w="4775" w:type="dxa"/>
            <w:tcBorders/>
            <w:shd w:fill="CCEEFF" w:val="clear"/>
            <w:vAlign w:val="center"/>
          </w:tcPr>
          <w:p>
            <w:pPr>
              <w:pStyle w:val="TableContents"/>
              <w:bidi w:val="0"/>
              <w:spacing w:before="0" w:after="283"/>
              <w:jc w:val="both"/>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(1,258</w:t>
            </w:r>
          </w:p>
        </w:tc>
        <w:tc>
          <w:tcPr>
            <w:tcW w:w="110" w:type="dxa"/>
            <w:tcBorders/>
            <w:shd w:fill="CCEEFF" w:val="clear"/>
            <w:vAlign w:val="center"/>
          </w:tcPr>
          <w:p>
            <w:pPr>
              <w:pStyle w:val="TableContents"/>
              <w:bidi w:val="0"/>
              <w:spacing w:before="0" w:after="283"/>
              <w:jc w:val="left"/>
              <w:rPr/>
            </w:pPr>
            <w:r>
              <w:rPr/>
              <w:t>)</w:t>
            </w:r>
            <w:bookmarkStart w:id="444" w:name="xdx_409_ecustom--DisposalGroupIncludingD"/>
            <w:bookmarkEnd w:id="444"/>
          </w:p>
        </w:tc>
      </w:tr>
      <w:tr>
        <w:trPr/>
        <w:tc>
          <w:tcPr>
            <w:tcW w:w="4775" w:type="dxa"/>
            <w:tcBorders/>
            <w:shd w:fill="FFFFFF" w:val="clear"/>
            <w:vAlign w:val="center"/>
          </w:tcPr>
          <w:p>
            <w:pPr>
              <w:pStyle w:val="TableContents"/>
              <w:bidi w:val="0"/>
              <w:spacing w:before="0" w:after="283"/>
              <w:jc w:val="both"/>
              <w:rPr>
                <w:b/>
              </w:rPr>
            </w:pPr>
            <w:r>
              <w:rPr>
                <w:b/>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300,000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(1,258</w:t>
            </w:r>
          </w:p>
        </w:tc>
        <w:tc>
          <w:tcPr>
            <w:tcW w:w="110" w:type="dxa"/>
            <w:tcBorders/>
            <w:shd w:fill="FFFFFF" w:val="clear"/>
            <w:vAlign w:val="center"/>
          </w:tcPr>
          <w:p>
            <w:pPr>
              <w:pStyle w:val="TableContents"/>
              <w:bidi w:val="0"/>
              <w:spacing w:before="0" w:after="283"/>
              <w:jc w:val="left"/>
              <w:rPr>
                <w:b/>
              </w:rPr>
            </w:pPr>
            <w:r>
              <w:rPr>
                <w:b/>
              </w:rPr>
              <w:t>)</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45" w:name="xdx_405_eus-gaap--IncomeLossFromDisconti"/>
            <w:bookmarkEnd w:id="445"/>
          </w:p>
        </w:tc>
      </w:tr>
      <w:tr>
        <w:trPr/>
        <w:tc>
          <w:tcPr>
            <w:tcW w:w="4775" w:type="dxa"/>
            <w:tcBorders/>
            <w:shd w:fill="FFFFFF" w:val="clear"/>
            <w:vAlign w:val="center"/>
          </w:tcPr>
          <w:p>
            <w:pPr>
              <w:pStyle w:val="TableContents"/>
              <w:bidi w:val="0"/>
              <w:spacing w:before="0" w:after="283"/>
              <w:jc w:val="both"/>
              <w:rPr>
                <w:b/>
              </w:rPr>
            </w:pPr>
            <w:r>
              <w:rPr>
                <w:b/>
              </w:rPr>
              <w:t>Net income (loss)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(41,720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(2,518,657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(5,425,474</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46" w:name="xdx_F0C_zaJTvyU13TY7"/>
            <w:bookmarkEnd w:id="446"/>
            <w:r>
              <w:rPr>
                <w:rFonts w:ascii="Times New Roman;Times;Serif" w:hAnsi="Times New Roman;Times;Serif"/>
                <w:b w:val="false"/>
                <w:i w:val="false"/>
                <w:caps w:val="false"/>
                <w:smallCaps w:val="false"/>
                <w:sz w:val="20"/>
              </w:rPr>
              <w:t>(1)</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7" w:name="xdx_F15_z1ZtglPeoXEa"/>
            <w:bookmarkEnd w:id="447"/>
            <w:r>
              <w:rPr>
                <w:rFonts w:ascii="Times New Roman;Times;Serif" w:hAnsi="Times New Roman;Times;Serif"/>
                <w:b w:val="false"/>
                <w:i w:val="false"/>
                <w:caps w:val="false"/>
                <w:smallCaps w:val="false"/>
                <w:sz w:val="20"/>
              </w:rPr>
              <w:t>Depreciation expense of $</w:t>
            </w:r>
            <w:bookmarkStart w:id="448" w:name="xdx_907_eus-gaap--Depreciation_c20250401"/>
            <w:bookmarkEnd w:id="448"/>
            <w:r>
              <w:rPr>
                <w:rFonts w:ascii="Times New Roman;Times;Serif" w:hAnsi="Times New Roman;Times;Serif"/>
                <w:b w:val="false"/>
                <w:i w:val="false"/>
                <w:caps w:val="false"/>
                <w:smallCaps w:val="false"/>
                <w:sz w:val="20"/>
              </w:rPr>
              <w:t>7,021 and $</w:t>
            </w:r>
            <w:bookmarkStart w:id="449" w:name="xdx_90A_eus-gaap--Depreciation_c20250101"/>
            <w:bookmarkEnd w:id="449"/>
            <w:r>
              <w:rPr>
                <w:rFonts w:ascii="Times New Roman;Times;Serif" w:hAnsi="Times New Roman;Times;Serif"/>
                <w:b w:val="false"/>
                <w:i w:val="false"/>
                <w:caps w:val="false"/>
                <w:smallCaps w:val="false"/>
                <w:sz w:val="20"/>
              </w:rPr>
              <w:t>12,482 was reclassified as continuing operations in the three and six months ended June 30, 2025, respectively, and is therefore no longer reflected in discontinued operations.</w:t>
            </w:r>
          </w:p>
        </w:tc>
      </w:tr>
    </w:tbl>
    <w:p>
      <w:pPr>
        <w:pStyle w:val="TextBody"/>
        <w:bidi w:val="0"/>
        <w:spacing w:before="0" w:after="0"/>
        <w:ind w:left="63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50" w:name="xdx_F04_zO8L8GNljko3"/>
            <w:bookmarkEnd w:id="450"/>
            <w:r>
              <w:rPr>
                <w:rFonts w:ascii="Times New Roman;Times;Serif" w:hAnsi="Times New Roman;Times;Serif"/>
                <w:b w:val="false"/>
                <w:i w:val="false"/>
                <w:caps w:val="false"/>
                <w:smallCaps w:val="false"/>
                <w:sz w:val="20"/>
              </w:rPr>
              <w:t>(2)</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51" w:name="xdx_F11_z8U8wobUCGS8"/>
            <w:bookmarkEnd w:id="451"/>
            <w:r>
              <w:rPr>
                <w:rFonts w:ascii="Times New Roman;Times;Serif" w:hAnsi="Times New Roman;Times;Serif"/>
                <w:b w:val="false"/>
                <w:i w:val="false"/>
                <w:caps w:val="false"/>
                <w:smallCaps w:val="false"/>
                <w:sz w:val="20"/>
              </w:rPr>
              <w:t>Other income relates to due diligence payments received to compensate the Company for costs incurred to maintain limited operations of certain software, technology and cloud related services while an interested party conducted its due diligence. In March 2026, the due diligence period ended and was not extended.</w:t>
            </w:r>
          </w:p>
        </w:tc>
      </w:tr>
    </w:tbl>
    <w:p>
      <w:pPr>
        <w:pStyle w:val="TextBody"/>
        <w:bidi w:val="0"/>
        <w:spacing w:before="0" w:after="0"/>
        <w:ind w:left="630" w:right="0" w:hanging="2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63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operating, investing and financing cash flow information for discontinued operations for the periods presented:</w:t>
      </w:r>
    </w:p>
    <w:p>
      <w:pPr>
        <w:pStyle w:val="TextBody"/>
        <w:bidi w:val="0"/>
        <w:spacing w:before="0" w:after="0"/>
        <w:ind w:left="0" w:right="0" w:hanging="0"/>
        <w:jc w:val="both"/>
        <w:rPr>
          <w:caps w:val="false"/>
          <w:smallCaps w:val="false"/>
        </w:rPr>
      </w:pPr>
      <w:r>
        <w:rPr>
          <w:caps w:val="false"/>
          <w:smallCaps w:val="false"/>
        </w:rPr>
        <w:t> </w:t>
      </w:r>
    </w:p>
    <w:tbl>
      <w:tblPr>
        <w:tblW w:w="8285" w:type="dxa"/>
        <w:jc w:val="left"/>
        <w:tblInd w:w="0" w:type="dxa"/>
        <w:tblLayout w:type="fixed"/>
        <w:tblCellMar>
          <w:top w:w="0" w:type="dxa"/>
          <w:left w:w="0" w:type="dxa"/>
          <w:bottom w:w="0" w:type="dxa"/>
          <w:right w:w="0" w:type="dxa"/>
        </w:tblCellMar>
      </w:tblPr>
      <w:tblGrid>
        <w:gridCol w:w="5750"/>
        <w:gridCol w:w="60"/>
        <w:gridCol w:w="140"/>
        <w:gridCol w:w="875"/>
        <w:gridCol w:w="95"/>
        <w:gridCol w:w="60"/>
        <w:gridCol w:w="140"/>
        <w:gridCol w:w="1055"/>
        <w:gridCol w:w="110"/>
      </w:tblGrid>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2" w:name="xdx_49B_20260101__20260630__us-gaap--Inc"/>
            <w:bookmarkEnd w:id="452"/>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3" w:name="xdx_49B_20250101__20250630__us-gaap--Inc"/>
            <w:bookmarkEnd w:id="453"/>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bookmarkStart w:id="454" w:name="xdx_405_eus-gaap--NetCashProvidedByUsedI"/>
            <w:bookmarkEnd w:id="454"/>
          </w:p>
        </w:tc>
      </w:tr>
      <w:tr>
        <w:trPr/>
        <w:tc>
          <w:tcPr>
            <w:tcW w:w="5750" w:type="dxa"/>
            <w:tcBorders/>
            <w:shd w:fill="CCEEFF" w:val="clear"/>
            <w:vAlign w:val="center"/>
          </w:tcPr>
          <w:p>
            <w:pPr>
              <w:pStyle w:val="TableContents"/>
              <w:bidi w:val="0"/>
              <w:spacing w:before="0" w:after="283"/>
              <w:jc w:val="both"/>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55" w:name="xdx_405_eus-gaap--DepreciationAndAmortiz"/>
            <w:bookmarkEnd w:id="455"/>
          </w:p>
        </w:tc>
      </w:tr>
      <w:tr>
        <w:trPr/>
        <w:tc>
          <w:tcPr>
            <w:tcW w:w="5750"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856,063</w:t>
            </w:r>
          </w:p>
        </w:tc>
        <w:tc>
          <w:tcPr>
            <w:tcW w:w="110" w:type="dxa"/>
            <w:tcBorders/>
            <w:shd w:fill="FFFFFF" w:val="clear"/>
            <w:vAlign w:val="center"/>
          </w:tcPr>
          <w:p>
            <w:pPr>
              <w:pStyle w:val="TableContents"/>
              <w:bidi w:val="0"/>
              <w:spacing w:before="0" w:after="283"/>
              <w:jc w:val="left"/>
              <w:rPr/>
            </w:pPr>
            <w:r>
              <w:rPr/>
              <w:t> </w:t>
            </w:r>
            <w:bookmarkStart w:id="456" w:name="xdx_40D_eus-gaap--GainLossOnSaleOfProper"/>
            <w:bookmarkEnd w:id="456"/>
          </w:p>
        </w:tc>
      </w:tr>
      <w:tr>
        <w:trPr/>
        <w:tc>
          <w:tcPr>
            <w:tcW w:w="5750" w:type="dxa"/>
            <w:tcBorders/>
            <w:shd w:fill="CCEEFF" w:val="clear"/>
            <w:vAlign w:val="center"/>
          </w:tcPr>
          <w:p>
            <w:pPr>
              <w:pStyle w:val="TableContents"/>
              <w:bidi w:val="0"/>
              <w:spacing w:before="0" w:after="283"/>
              <w:jc w:val="both"/>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1,258</w:t>
            </w:r>
          </w:p>
        </w:tc>
        <w:tc>
          <w:tcPr>
            <w:tcW w:w="110" w:type="dxa"/>
            <w:tcBorders/>
            <w:shd w:fill="CCEEFF" w:val="clear"/>
            <w:vAlign w:val="center"/>
          </w:tcPr>
          <w:p>
            <w:pPr>
              <w:pStyle w:val="TableContents"/>
              <w:bidi w:val="0"/>
              <w:spacing w:before="0" w:after="283"/>
              <w:jc w:val="left"/>
              <w:rPr/>
            </w:pPr>
            <w:r>
              <w:rPr/>
              <w:t> </w:t>
            </w:r>
            <w:bookmarkStart w:id="457" w:name="xdx_408_eus-gaap--ShareBasedCompensation"/>
            <w:bookmarkEnd w:id="457"/>
          </w:p>
        </w:tc>
      </w:tr>
      <w:tr>
        <w:trPr/>
        <w:tc>
          <w:tcPr>
            <w:tcW w:w="5750" w:type="dxa"/>
            <w:tcBorders/>
            <w:shd w:fill="FFFFFF" w:val="clear"/>
            <w:vAlign w:val="center"/>
          </w:tcPr>
          <w:p>
            <w:pPr>
              <w:pStyle w:val="TableContents"/>
              <w:bidi w:val="0"/>
              <w:spacing w:before="0" w:after="283"/>
              <w:jc w:val="both"/>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155,802</w:t>
            </w:r>
          </w:p>
        </w:tc>
        <w:tc>
          <w:tcPr>
            <w:tcW w:w="110" w:type="dxa"/>
            <w:tcBorders/>
            <w:shd w:fill="FFFFFF" w:val="clear"/>
            <w:vAlign w:val="center"/>
          </w:tcPr>
          <w:p>
            <w:pPr>
              <w:pStyle w:val="TableContents"/>
              <w:bidi w:val="0"/>
              <w:spacing w:before="0" w:after="283"/>
              <w:jc w:val="left"/>
              <w:rPr/>
            </w:pPr>
            <w:r>
              <w:rPr/>
              <w:t> </w:t>
            </w:r>
            <w:bookmarkStart w:id="458" w:name="xdx_405_eus-gaap--IncreaseDecreaseInAcco"/>
            <w:bookmarkEnd w:id="458"/>
          </w:p>
        </w:tc>
      </w:tr>
      <w:tr>
        <w:trPr/>
        <w:tc>
          <w:tcPr>
            <w:tcW w:w="5750"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(8,700</w:t>
            </w:r>
          </w:p>
        </w:tc>
        <w:tc>
          <w:tcPr>
            <w:tcW w:w="110" w:type="dxa"/>
            <w:tcBorders/>
            <w:shd w:fill="CCEEFF" w:val="clear"/>
            <w:vAlign w:val="center"/>
          </w:tcPr>
          <w:p>
            <w:pPr>
              <w:pStyle w:val="TableContents"/>
              <w:bidi w:val="0"/>
              <w:spacing w:before="0" w:after="283"/>
              <w:jc w:val="left"/>
              <w:rPr/>
            </w:pPr>
            <w:r>
              <w:rPr/>
              <w:t>)</w:t>
            </w:r>
            <w:bookmarkStart w:id="459" w:name="xdx_404_eus-gaap--IncreaseDecreaseInPrep"/>
            <w:bookmarkEnd w:id="459"/>
          </w:p>
        </w:tc>
      </w:tr>
      <w:tr>
        <w:trPr/>
        <w:tc>
          <w:tcPr>
            <w:tcW w:w="5750" w:type="dxa"/>
            <w:tcBorders/>
            <w:shd w:fill="FFFFFF" w:val="clear"/>
            <w:vAlign w:val="center"/>
          </w:tcPr>
          <w:p>
            <w:pPr>
              <w:pStyle w:val="TableContents"/>
              <w:bidi w:val="0"/>
              <w:spacing w:before="0" w:after="283"/>
              <w:jc w:val="both"/>
              <w:rPr/>
            </w:pPr>
            <w:r>
              <w:rPr/>
              <w:t>Prepaid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(329,506</w:t>
            </w:r>
          </w:p>
        </w:tc>
        <w:tc>
          <w:tcPr>
            <w:tcW w:w="110" w:type="dxa"/>
            <w:tcBorders/>
            <w:shd w:fill="FFFFFF" w:val="clear"/>
            <w:vAlign w:val="center"/>
          </w:tcPr>
          <w:p>
            <w:pPr>
              <w:pStyle w:val="TableContents"/>
              <w:bidi w:val="0"/>
              <w:spacing w:before="0" w:after="283"/>
              <w:jc w:val="left"/>
              <w:rPr/>
            </w:pPr>
            <w:r>
              <w:rPr/>
              <w:t>)</w:t>
            </w:r>
            <w:bookmarkStart w:id="460" w:name="xdx_40F_ecustom--IncreaseDecreaseInAccru"/>
            <w:bookmarkEnd w:id="460"/>
          </w:p>
        </w:tc>
      </w:tr>
      <w:tr>
        <w:trPr/>
        <w:tc>
          <w:tcPr>
            <w:tcW w:w="5750" w:type="dxa"/>
            <w:tcBorders/>
            <w:shd w:fill="CCEEFF" w:val="clear"/>
            <w:vAlign w:val="center"/>
          </w:tcPr>
          <w:p>
            <w:pPr>
              <w:pStyle w:val="TableContents"/>
              <w:bidi w:val="0"/>
              <w:spacing w:before="0" w:after="283"/>
              <w:jc w:val="both"/>
              <w:rPr/>
            </w:pPr>
            <w:r>
              <w:rPr/>
              <w:t>Accrued royalties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277,836</w:t>
            </w:r>
          </w:p>
        </w:tc>
        <w:tc>
          <w:tcPr>
            <w:tcW w:w="110" w:type="dxa"/>
            <w:tcBorders/>
            <w:shd w:fill="CCEEFF" w:val="clear"/>
            <w:vAlign w:val="center"/>
          </w:tcPr>
          <w:p>
            <w:pPr>
              <w:pStyle w:val="TableContents"/>
              <w:bidi w:val="0"/>
              <w:spacing w:before="0" w:after="283"/>
              <w:jc w:val="left"/>
              <w:rPr/>
            </w:pPr>
            <w:r>
              <w:rPr/>
              <w:t> </w:t>
            </w:r>
            <w:bookmarkStart w:id="461" w:name="xdx_40F_ecustom--IncreaseDecreaseInAccru"/>
            <w:bookmarkEnd w:id="461"/>
          </w:p>
        </w:tc>
      </w:tr>
      <w:tr>
        <w:trPr/>
        <w:tc>
          <w:tcPr>
            <w:tcW w:w="5750" w:type="dxa"/>
            <w:tcBorders/>
            <w:shd w:fill="FFFFFF" w:val="clear"/>
            <w:vAlign w:val="center"/>
          </w:tcPr>
          <w:p>
            <w:pPr>
              <w:pStyle w:val="TableContents"/>
              <w:bidi w:val="0"/>
              <w:spacing w:before="0" w:after="283"/>
              <w:jc w:val="both"/>
              <w:rPr/>
            </w:pPr>
            <w:r>
              <w:rPr/>
              <w:t>Accrued bonuses and commissions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(782,666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(337,607</w:t>
            </w:r>
          </w:p>
        </w:tc>
        <w:tc>
          <w:tcPr>
            <w:tcW w:w="110" w:type="dxa"/>
            <w:tcBorders/>
            <w:shd w:fill="FFFFFF" w:val="clear"/>
            <w:vAlign w:val="center"/>
          </w:tcPr>
          <w:p>
            <w:pPr>
              <w:pStyle w:val="TableContents"/>
              <w:bidi w:val="0"/>
              <w:spacing w:before="0" w:after="283"/>
              <w:jc w:val="left"/>
              <w:rPr/>
            </w:pPr>
            <w:r>
              <w:rPr/>
              <w:t>)</w:t>
            </w:r>
            <w:bookmarkStart w:id="462" w:name="xdx_408_eus-gaap--NetCashProvidedByUsedI"/>
            <w:bookmarkEnd w:id="462"/>
          </w:p>
        </w:tc>
      </w:tr>
      <w:tr>
        <w:trPr/>
        <w:tc>
          <w:tcPr>
            <w:tcW w:w="5750" w:type="dxa"/>
            <w:tcBorders/>
            <w:shd w:fill="CCEEFF" w:val="clear"/>
            <w:vAlign w:val="center"/>
          </w:tcPr>
          <w:p>
            <w:pPr>
              <w:pStyle w:val="TableContents"/>
              <w:bidi w:val="0"/>
              <w:spacing w:before="0" w:after="283"/>
              <w:jc w:val="both"/>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63" w:name="xdx_40E_eus-gaap--PaymentsToAcquirePrope"/>
            <w:bookmarkEnd w:id="463"/>
          </w:p>
        </w:tc>
      </w:tr>
      <w:tr>
        <w:trPr/>
        <w:tc>
          <w:tcPr>
            <w:tcW w:w="5750" w:type="dxa"/>
            <w:tcBorders/>
            <w:shd w:fill="FFFFFF" w:val="clear"/>
            <w:vAlign w:val="center"/>
          </w:tcPr>
          <w:p>
            <w:pPr>
              <w:pStyle w:val="TableContents"/>
              <w:bidi w:val="0"/>
              <w:spacing w:before="0" w:after="283"/>
              <w:jc w:val="both"/>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(3,368,324</w:t>
            </w:r>
          </w:p>
        </w:tc>
        <w:tc>
          <w:tcPr>
            <w:tcW w:w="110" w:type="dxa"/>
            <w:tcBorders/>
            <w:shd w:fill="FFFFFF" w:val="clear"/>
            <w:vAlign w:val="center"/>
          </w:tcPr>
          <w:p>
            <w:pPr>
              <w:pStyle w:val="TableContents"/>
              <w:bidi w:val="0"/>
              <w:spacing w:before="0" w:after="283"/>
              <w:jc w:val="left"/>
              <w:rPr/>
            </w:pPr>
            <w:r>
              <w:rPr/>
              <w:t>)</w:t>
            </w:r>
            <w:bookmarkStart w:id="464" w:name="xdx_40D_ecustom--CarepicsAcquisition_iN_"/>
            <w:bookmarkEnd w:id="464"/>
          </w:p>
        </w:tc>
      </w:tr>
      <w:tr>
        <w:trPr/>
        <w:tc>
          <w:tcPr>
            <w:tcW w:w="5750" w:type="dxa"/>
            <w:tcBorders/>
            <w:shd w:fill="CCEEFF" w:val="clear"/>
            <w:vAlign w:val="center"/>
          </w:tcPr>
          <w:p>
            <w:pPr>
              <w:pStyle w:val="TableContents"/>
              <w:bidi w:val="0"/>
              <w:spacing w:before="0" w:after="283"/>
              <w:jc w:val="both"/>
              <w:rPr/>
            </w:pPr>
            <w:r>
              <w:rPr/>
              <w:t>CarePICS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(2,122,146</w:t>
            </w:r>
          </w:p>
        </w:tc>
        <w:tc>
          <w:tcPr>
            <w:tcW w:w="110" w:type="dxa"/>
            <w:tcBorders/>
            <w:shd w:fill="CCEEFF" w:val="clear"/>
            <w:vAlign w:val="center"/>
          </w:tcPr>
          <w:p>
            <w:pPr>
              <w:pStyle w:val="TableContents"/>
              <w:bidi w:val="0"/>
              <w:spacing w:before="0" w:after="283"/>
              <w:jc w:val="left"/>
              <w:rPr/>
            </w:pPr>
            <w:r>
              <w:rPr/>
              <w:t>)</w:t>
            </w:r>
            <w:bookmarkStart w:id="465" w:name="xdx_405_eus-gaap--NetCashProvidedByUsedI"/>
            <w:bookmarkEnd w:id="465"/>
          </w:p>
        </w:tc>
      </w:tr>
      <w:tr>
        <w:trPr/>
        <w:tc>
          <w:tcPr>
            <w:tcW w:w="5750" w:type="dxa"/>
            <w:tcBorders/>
            <w:shd w:fill="FFFFFF" w:val="clear"/>
            <w:vAlign w:val="center"/>
          </w:tcPr>
          <w:p>
            <w:pPr>
              <w:pStyle w:val="TableContents"/>
              <w:bidi w:val="0"/>
              <w:spacing w:before="0" w:after="283"/>
              <w:jc w:val="both"/>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66" w:name="xdx_409_eus-gaap--RepaymentsOfRelatedPar"/>
            <w:bookmarkEnd w:id="466"/>
          </w:p>
        </w:tc>
      </w:tr>
      <w:tr>
        <w:trPr/>
        <w:tc>
          <w:tcPr>
            <w:tcW w:w="5750" w:type="dxa"/>
            <w:tcBorders/>
            <w:shd w:fill="CCEEFF" w:val="clear"/>
            <w:vAlign w:val="center"/>
          </w:tcPr>
          <w:p>
            <w:pPr>
              <w:pStyle w:val="TableContents"/>
              <w:bidi w:val="0"/>
              <w:spacing w:before="0" w:after="283"/>
              <w:jc w:val="both"/>
              <w:rPr/>
            </w:pPr>
            <w:r>
              <w:rPr/>
              <w:t>Payoff of debt assumed in CarePICS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(1,650,000</w:t>
            </w:r>
          </w:p>
        </w:tc>
        <w:tc>
          <w:tcPr>
            <w:tcW w:w="110" w:type="dxa"/>
            <w:tcBorders/>
            <w:shd w:fill="CCEEFF" w:val="clear"/>
            <w:vAlign w:val="center"/>
          </w:tcPr>
          <w:p>
            <w:pPr>
              <w:pStyle w:val="TableContents"/>
              <w:bidi w:val="0"/>
              <w:spacing w:before="0" w:after="283"/>
              <w:jc w:val="left"/>
              <w:rPr/>
            </w:pPr>
            <w:r>
              <w:rPr/>
              <w:t>)</w:t>
            </w:r>
            <w:bookmarkStart w:id="467" w:name="xdx_409_eus-gaap--NoncashInvestingAndFin"/>
            <w:bookmarkEnd w:id="467"/>
          </w:p>
        </w:tc>
      </w:tr>
      <w:tr>
        <w:trPr/>
        <w:tc>
          <w:tcPr>
            <w:tcW w:w="5750" w:type="dxa"/>
            <w:tcBorders/>
            <w:shd w:fill="FFFFFF" w:val="clear"/>
            <w:vAlign w:val="center"/>
          </w:tcPr>
          <w:p>
            <w:pPr>
              <w:pStyle w:val="TableContents"/>
              <w:bidi w:val="0"/>
              <w:spacing w:before="0" w:after="283"/>
              <w:jc w:val="both"/>
              <w:rPr>
                <w:b/>
              </w:rPr>
            </w:pPr>
            <w:r>
              <w:rPr>
                <w:b/>
              </w:rPr>
              <w:t>Supplemental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68" w:name="xdx_401_ecustom--NonmonetaryExchangeToAc"/>
            <w:bookmarkEnd w:id="468"/>
          </w:p>
        </w:tc>
      </w:tr>
      <w:tr>
        <w:trPr/>
        <w:tc>
          <w:tcPr>
            <w:tcW w:w="5750" w:type="dxa"/>
            <w:tcBorders/>
            <w:shd w:fill="CCEEFF" w:val="clear"/>
            <w:vAlign w:val="center"/>
          </w:tcPr>
          <w:p>
            <w:pPr>
              <w:pStyle w:val="TableContents"/>
              <w:bidi w:val="0"/>
              <w:spacing w:before="0" w:after="283"/>
              <w:jc w:val="both"/>
              <w:rPr/>
            </w:pPr>
            <w:r>
              <w:rPr/>
              <w:t>Non-monetary exchange to acquire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2,084,278</w:t>
            </w:r>
          </w:p>
        </w:tc>
        <w:tc>
          <w:tcPr>
            <w:tcW w:w="110" w:type="dxa"/>
            <w:tcBorders/>
            <w:shd w:fill="CCEEFF" w:val="clear"/>
            <w:vAlign w:val="center"/>
          </w:tcPr>
          <w:p>
            <w:pPr>
              <w:pStyle w:val="TableContents"/>
              <w:bidi w:val="0"/>
              <w:spacing w:before="0" w:after="283"/>
              <w:jc w:val="left"/>
              <w:rPr/>
            </w:pPr>
            <w:r>
              <w:rPr/>
              <w:t> </w:t>
            </w:r>
            <w:bookmarkStart w:id="469" w:name="xdx_40A_ecustom--EarnoutLiabilityGenerat"/>
            <w:bookmarkEnd w:id="469"/>
          </w:p>
        </w:tc>
      </w:tr>
      <w:tr>
        <w:trPr/>
        <w:tc>
          <w:tcPr>
            <w:tcW w:w="5750" w:type="dxa"/>
            <w:tcBorders/>
            <w:shd w:fill="FFFFFF" w:val="clear"/>
            <w:vAlign w:val="center"/>
          </w:tcPr>
          <w:p>
            <w:pPr>
              <w:pStyle w:val="TableContents"/>
              <w:bidi w:val="0"/>
              <w:spacing w:before="0" w:after="283"/>
              <w:jc w:val="both"/>
              <w:rPr/>
            </w:pPr>
            <w:r>
              <w:rPr/>
              <w:t>Earnout liability generated by CarePICS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1,355,603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0" w:name="xdx_8AE_z7n5x63xoE38"/>
      <w:bookmarkEnd w:id="47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1" w:name="xdx_809_eus-gaap--BusinessCombinationDis"/>
      <w:bookmarkEnd w:id="471"/>
      <w:r>
        <w:rPr>
          <w:rFonts w:ascii="Times New Roman;Times;Serif" w:hAnsi="Times New Roman;Times;Serif"/>
          <w:b/>
          <w:i w:val="false"/>
          <w:caps w:val="false"/>
          <w:smallCaps w:val="false"/>
          <w:sz w:val="20"/>
        </w:rPr>
        <w:t xml:space="preserve">NOTE 4 — </w:t>
      </w:r>
      <w:bookmarkStart w:id="472" w:name="xdx_825_zerMpK2F6f62"/>
      <w:bookmarkEnd w:id="472"/>
      <w:r>
        <w:rPr>
          <w:rFonts w:ascii="Times New Roman;Times;Serif" w:hAnsi="Times New Roman;Times;Serif"/>
          <w:b/>
          <w:i w:val="false"/>
          <w:caps w:val="false"/>
          <w:smallCaps w:val="false"/>
          <w:sz w:val="20"/>
        </w:rPr>
        <w:t>CAREPICS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“CarePICS Closing Date”), the Company entered into a Unit Purchase Agreement (the “CarePICS Purchase Agreement”), by and among the Company, Tissue Health Plus, LLC, a Delaware limited liability company and wholly owned subsidiary of the Company (the “Purchaser”), CarePICS, LLC (“CarePICS”), the holders of CarePICS’s outstanding units (each, a “Seller” and collectively, the “Sellers”) and Paul Schubert, in his capacity as the representative of the Sellers, pursuant to which the Purchaser purchased all of the issued and outstanding equity interests of CarePICS (the “Units”) from the Sellers (the “CarePICS Acquisition”). On the CarePICS Closing Date, the parties to the CarePICS Purchase Agreement completed the CarePICS Acquisition and CarePICS became an indirect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CarePICS designed and maintained a mobile and web app for clinicians to perform certain activities related to treating vascular and wound care patients, including (i) requesting and providing specialty consultations, (ii) creating and sending clinical reports, (iii) scheduling and performing telehealth visits with patients and (iv) signing and fulfilling medical supply orders. The CarePICS virtual platform enabled HIPAA-compliant communication sharing of video, voice, text and images for all activities between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CarePICS Purchase Agreement, cash consideration for the CarePICS Acquisition was $</w:t>
      </w:r>
      <w:bookmarkStart w:id="473" w:name="xdx_900_eus-gaap--PaymentsToAcquireProdu"/>
      <w:bookmarkEnd w:id="473"/>
      <w:r>
        <w:rPr>
          <w:rFonts w:ascii="Times New Roman;Times;Serif" w:hAnsi="Times New Roman;Times;Serif"/>
          <w:b w:val="false"/>
          <w:i w:val="false"/>
          <w:caps w:val="false"/>
          <w:smallCaps w:val="false"/>
          <w:sz w:val="20"/>
        </w:rPr>
        <w:t>2.0 million, which included transaction expenses of the Sellers. On the CarePICS Closing Date, the Company also paid $</w:t>
      </w:r>
      <w:bookmarkStart w:id="474" w:name="xdx_906_ecustom--LongtermDebtAssumedInBu"/>
      <w:bookmarkEnd w:id="474"/>
      <w:r>
        <w:rPr>
          <w:rFonts w:ascii="Times New Roman;Times;Serif" w:hAnsi="Times New Roman;Times;Serif"/>
          <w:b w:val="false"/>
          <w:i w:val="false"/>
          <w:caps w:val="false"/>
          <w:smallCaps w:val="false"/>
          <w:sz w:val="20"/>
        </w:rPr>
        <w:t>1.65 million to satisfy certain existing indebtedness of CarePICS which was assumed by the Company at the closing of the acquisition.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CarePICS Purchase Agreement also provided that the Sellers were entitled to receive potential earnout payments. Pursuant to the CarePICS Purchase Agreement, for each of </w:t>
      </w:r>
      <w:bookmarkStart w:id="475" w:name="xdx_90C_ecustom--EarnoutPaymentDescripti"/>
      <w:bookmarkEnd w:id="475"/>
      <w:r>
        <w:rPr>
          <w:rFonts w:ascii="Times New Roman;Times;Serif" w:hAnsi="Times New Roman;Times;Serif"/>
          <w:b w:val="false"/>
          <w:i w:val="false"/>
          <w:caps w:val="false"/>
          <w:smallCaps w:val="false"/>
          <w:sz w:val="20"/>
        </w:rPr>
        <w:t>(A) the period beginning on the CarePICS Closing Date and ending on March 31, 2026 (the “First Earnout Period”) and (B) the period beginning on April 1, 2026 and ending on March 31, 2027 (the “Second Earnout Period”), each Seller was entitled to such Seller’s pro rata share of a value equal to (i) $2,000,000 minus (ii) any funding provided by the Purchaser or its affiliates to the SaaS P&amp;L (as defined in the CarePICS Purchase Agreement) during the First Earnout Period and Second Earnout Period, as applicable, in excess of $110,000 per month, minus (iii) any shortfall in the projected SaaS P&amp;L EBITDA (as defined in the CarePICS Purchase Agreement) for the applicable earnout period, plus (iv) 75% of any SaaS P&amp;L EBITDA generated in excess of the projected SaaS P&amp;L EBITDA for the First Earnout Period and the Second Earnout Period,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earnout payment, if any, was due within 90 days following the First Earnout Period and Second Earnout Period, as applicable, and was payable in cash or, at the Purchaser’s election, was payable to Sellers who qualify as “accredited investors” (as such term is defined in Rule 501(a) of Regulation D promulgated under the Securities Act of 1933, as amended) in a combination of </w:t>
      </w:r>
      <w:bookmarkStart w:id="476" w:name="xdx_900_ecustom--EarnoutPayableInCashPer"/>
      <w:bookmarkEnd w:id="476"/>
      <w:r>
        <w:rPr>
          <w:rFonts w:ascii="Times New Roman;Times;Serif" w:hAnsi="Times New Roman;Times;Serif"/>
          <w:b w:val="false"/>
          <w:i w:val="false"/>
          <w:caps w:val="false"/>
          <w:smallCaps w:val="false"/>
          <w:sz w:val="20"/>
        </w:rPr>
        <w:t xml:space="preserve">30% cash and </w:t>
      </w:r>
      <w:bookmarkStart w:id="477" w:name="xdx_90B_ecustom--EarnoutPayableInPurchas"/>
      <w:bookmarkEnd w:id="477"/>
      <w:r>
        <w:rPr>
          <w:rFonts w:ascii="Times New Roman;Times;Serif" w:hAnsi="Times New Roman;Times;Serif"/>
          <w:b w:val="false"/>
          <w:i w:val="false"/>
          <w:caps w:val="false"/>
          <w:smallCaps w:val="false"/>
          <w:sz w:val="20"/>
        </w:rPr>
        <w:t>70% of the Purchaser’s Class A-2 Units, with the value of the Class A-2 Units to be determined by an industry recognizable third-party valuation firm. Pursuant to the CarePICS Purchase Agreement, the aggregate value of the amounts paid for the First and Second Earnout Periods would not exceed $</w:t>
      </w:r>
      <w:bookmarkStart w:id="478" w:name="xdx_90F_ecustom--EarnoutPayable_iI_c2025"/>
      <w:bookmarkEnd w:id="478"/>
      <w:r>
        <w:rPr>
          <w:rFonts w:ascii="Times New Roman;Times;Serif" w:hAnsi="Times New Roman;Times;Serif"/>
          <w:b w:val="false"/>
          <w:i w:val="false"/>
          <w:caps w:val="false"/>
          <w:smallCaps w:val="false"/>
          <w:sz w:val="20"/>
        </w:rPr>
        <w:t>10,000,000.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a period ending 10 years following the CarePICS Closing Date (the “Purchaser Value Earnout Period”), each Seller was entitled to receive annual earnout payments based on the census of patient volume for the previous year and be based upon a rate of $</w:t>
      </w:r>
      <w:bookmarkStart w:id="479" w:name="xdx_90F_ecustom--EarnoutPayablePricePerP"/>
      <w:bookmarkEnd w:id="479"/>
      <w:r>
        <w:rPr>
          <w:rFonts w:ascii="Times New Roman;Times;Serif" w:hAnsi="Times New Roman;Times;Serif"/>
          <w:b w:val="false"/>
          <w:i w:val="false"/>
          <w:caps w:val="false"/>
          <w:smallCaps w:val="false"/>
          <w:sz w:val="20"/>
        </w:rPr>
        <w:t xml:space="preserve">5.00 enablement value per patient per year (the “Purchaser Value Earnouts”). Each earnout payment, if any, was due 90 days following the end of each fiscal year during the Purchaser Value Earnout Period, and was payable in cash or, at the Purchaser’s election, was payable to Sellers who qualify as accredited investors in a combination of </w:t>
      </w:r>
      <w:bookmarkStart w:id="480" w:name="xdx_908_ecustom--EarnoutPayableInCashPer"/>
      <w:bookmarkEnd w:id="480"/>
      <w:r>
        <w:rPr>
          <w:rFonts w:ascii="Times New Roman;Times;Serif" w:hAnsi="Times New Roman;Times;Serif"/>
          <w:b w:val="false"/>
          <w:i w:val="false"/>
          <w:caps w:val="false"/>
          <w:smallCaps w:val="false"/>
          <w:sz w:val="20"/>
        </w:rPr>
        <w:t xml:space="preserve">30% cash and </w:t>
      </w:r>
      <w:bookmarkStart w:id="481" w:name="xdx_90A_ecustom--EarnoutPayableInPurchas"/>
      <w:bookmarkEnd w:id="481"/>
      <w:r>
        <w:rPr>
          <w:rFonts w:ascii="Times New Roman;Times;Serif" w:hAnsi="Times New Roman;Times;Serif"/>
          <w:b w:val="false"/>
          <w:i w:val="false"/>
          <w:caps w:val="false"/>
          <w:smallCaps w:val="false"/>
          <w:sz w:val="20"/>
        </w:rPr>
        <w:t>70% of the Purchaser’s Class B Units, with the value of the Class B Units to be determined by an industry recognizable third-party valuation firm. Pursuant to the CarePICS Purchase Agreement, the aggregate value of the Purchaser Value Earnouts would not exceed $</w:t>
      </w:r>
      <w:bookmarkStart w:id="482" w:name="xdx_90C_ecustom--EarnoutPayable_iI_c2025"/>
      <w:bookmarkEnd w:id="482"/>
      <w:r>
        <w:rPr>
          <w:rFonts w:ascii="Times New Roman;Times;Serif" w:hAnsi="Times New Roman;Times;Serif"/>
          <w:b w:val="false"/>
          <w:i w:val="false"/>
          <w:caps w:val="false"/>
          <w:smallCaps w:val="false"/>
          <w:sz w:val="20"/>
        </w:rPr>
        <w:t>10,000,000.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contingent consideration was negotiated as part of the CarePICS Acquisition, the contingent obligation was included in the total purchase consideration transferred and classified as a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3" w:name="xdx_89F_eus-gaap--ScheduleOfBusinessAcqu"/>
      <w:bookmarkEnd w:id="483"/>
      <w:r>
        <w:rPr>
          <w:rFonts w:ascii="Times New Roman;Times;Serif" w:hAnsi="Times New Roman;Times;Serif"/>
          <w:b w:val="false"/>
          <w:i w:val="false"/>
          <w:caps w:val="false"/>
          <w:smallCaps w:val="false"/>
          <w:sz w:val="20"/>
        </w:rPr>
        <w:t>The total purchase consideration for the CarePICS Acquisition as of the acquisition date was as follows:</w:t>
      </w:r>
    </w:p>
    <w:p>
      <w:pPr>
        <w:pStyle w:val="TextBody"/>
        <w:bidi w:val="0"/>
        <w:spacing w:before="0" w:after="0"/>
        <w:ind w:left="0" w:right="0" w:hanging="0"/>
        <w:jc w:val="both"/>
        <w:rPr>
          <w:caps w:val="false"/>
          <w:smallCaps w:val="false"/>
        </w:rPr>
      </w:pPr>
      <w:r>
        <w:rPr>
          <w:caps w:val="false"/>
          <w:smallCaps w:val="false"/>
        </w:rPr>
        <w:t> </w:t>
      </w:r>
      <w:bookmarkStart w:id="484" w:name="xdx_8B5_z18hs7QEGr6i"/>
      <w:bookmarkEnd w:id="484"/>
      <w:r>
        <w:rPr>
          <w:rFonts w:ascii="Times New Roman;Times;Serif" w:hAnsi="Times New Roman;Times;Serif"/>
          <w:b w:val="false"/>
          <w:i w:val="false"/>
          <w:caps w:val="false"/>
          <w:smallCaps w:val="false"/>
          <w:sz w:val="20"/>
        </w:rPr>
        <w:t>SCHEDULE OF TOTAL PURCHASE CONSIDERATION</w:t>
      </w:r>
    </w:p>
    <w:tbl>
      <w:tblPr>
        <w:tblW w:w="4245" w:type="dxa"/>
        <w:jc w:val="left"/>
        <w:tblInd w:w="0" w:type="dxa"/>
        <w:tblLayout w:type="fixed"/>
        <w:tblCellMar>
          <w:top w:w="0" w:type="dxa"/>
          <w:left w:w="0" w:type="dxa"/>
          <w:bottom w:w="28" w:type="dxa"/>
          <w:right w:w="0" w:type="dxa"/>
        </w:tblCellMar>
      </w:tblPr>
      <w:tblGrid>
        <w:gridCol w:w="2990"/>
        <w:gridCol w:w="60"/>
        <w:gridCol w:w="140"/>
        <w:gridCol w:w="980"/>
        <w:gridCol w:w="75"/>
      </w:tblGrid>
      <w:tr>
        <w:trPr/>
        <w:tc>
          <w:tcPr>
            <w:tcW w:w="2990" w:type="dxa"/>
            <w:tcBorders>
              <w:bottom w:val="single" w:sz="8" w:space="0" w:color="000000"/>
            </w:tcBorders>
            <w:vAlign w:val="center"/>
          </w:tcPr>
          <w:p>
            <w:pPr>
              <w:pStyle w:val="TableContents"/>
              <w:bidi w:val="0"/>
              <w:spacing w:before="0" w:after="283"/>
              <w:jc w:val="center"/>
              <w:rPr>
                <w:b/>
              </w:rPr>
            </w:pPr>
            <w:r>
              <w:rPr>
                <w:b/>
              </w:rPr>
              <w:t>Consideration</w:t>
            </w:r>
          </w:p>
        </w:tc>
        <w:tc>
          <w:tcPr>
            <w:tcW w:w="60" w:type="dxa"/>
            <w:tcBorders/>
            <w:tcMar>
              <w:bottom w:w="0" w:type="dxa"/>
            </w:tcMar>
            <w:vAlign w:val="center"/>
          </w:tcPr>
          <w:p>
            <w:pPr>
              <w:pStyle w:val="TableContents"/>
              <w:bidi w:val="0"/>
              <w:spacing w:before="0" w:after="283"/>
              <w:jc w:val="left"/>
              <w:rPr/>
            </w:pPr>
            <w:r>
              <w:rPr/>
              <w:t> </w:t>
            </w:r>
            <w:bookmarkStart w:id="485" w:name="xdx_493_20250401__20250401__us-gaap--Bus"/>
            <w:bookmarkEnd w:id="485"/>
          </w:p>
        </w:tc>
        <w:tc>
          <w:tcPr>
            <w:tcW w:w="112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486" w:name="xdx_407_ecustom--BusinessCombinationCash"/>
            <w:bookmarkEnd w:id="486"/>
          </w:p>
        </w:tc>
      </w:tr>
      <w:tr>
        <w:trPr/>
        <w:tc>
          <w:tcPr>
            <w:tcW w:w="2990" w:type="dxa"/>
            <w:tcBorders/>
            <w:shd w:fill="CCEEFF" w:val="clear"/>
            <w:tcMar>
              <w:bottom w:w="0" w:type="dxa"/>
            </w:tcMar>
            <w:vAlign w:val="center"/>
          </w:tcPr>
          <w:p>
            <w:pPr>
              <w:pStyle w:val="TableContents"/>
              <w:bidi w:val="0"/>
              <w:spacing w:before="0" w:after="283"/>
              <w:jc w:val="both"/>
              <w:rPr/>
            </w:pPr>
            <w:r>
              <w:rPr/>
              <w:t>Cash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2,000,000</w:t>
            </w:r>
          </w:p>
        </w:tc>
        <w:tc>
          <w:tcPr>
            <w:tcW w:w="75" w:type="dxa"/>
            <w:tcBorders/>
            <w:shd w:fill="CCEEFF" w:val="clear"/>
            <w:tcMar>
              <w:bottom w:w="0" w:type="dxa"/>
            </w:tcMar>
            <w:vAlign w:val="center"/>
          </w:tcPr>
          <w:p>
            <w:pPr>
              <w:pStyle w:val="TableContents"/>
              <w:bidi w:val="0"/>
              <w:spacing w:before="0" w:after="283"/>
              <w:jc w:val="left"/>
              <w:rPr/>
            </w:pPr>
            <w:r>
              <w:rPr/>
              <w:t> </w:t>
            </w:r>
            <w:bookmarkStart w:id="487" w:name="xdx_40D_ecustom--BusinessCombinationCont"/>
            <w:bookmarkEnd w:id="487"/>
          </w:p>
        </w:tc>
      </w:tr>
      <w:tr>
        <w:trPr/>
        <w:tc>
          <w:tcPr>
            <w:tcW w:w="2990" w:type="dxa"/>
            <w:tcBorders/>
            <w:shd w:fill="FFFFFF" w:val="clear"/>
            <w:tcMar>
              <w:bottom w:w="0" w:type="dxa"/>
            </w:tcMar>
            <w:vAlign w:val="center"/>
          </w:tcPr>
          <w:p>
            <w:pPr>
              <w:pStyle w:val="TableContents"/>
              <w:bidi w:val="0"/>
              <w:spacing w:before="0" w:after="283"/>
              <w:jc w:val="both"/>
              <w:rPr/>
            </w:pPr>
            <w:r>
              <w:rPr/>
              <w:t>Contingent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1,355,603</w:t>
            </w:r>
          </w:p>
        </w:tc>
        <w:tc>
          <w:tcPr>
            <w:tcW w:w="75" w:type="dxa"/>
            <w:tcBorders/>
            <w:shd w:fill="FFFFFF" w:val="clear"/>
            <w:tcMar>
              <w:bottom w:w="0" w:type="dxa"/>
            </w:tcMar>
            <w:vAlign w:val="center"/>
          </w:tcPr>
          <w:p>
            <w:pPr>
              <w:pStyle w:val="TableContents"/>
              <w:bidi w:val="0"/>
              <w:spacing w:before="0" w:after="283"/>
              <w:jc w:val="left"/>
              <w:rPr/>
            </w:pPr>
            <w:r>
              <w:rPr/>
              <w:t> </w:t>
            </w:r>
            <w:bookmarkStart w:id="488" w:name="xdx_40D_ecustom--BusinessCombinationDire"/>
            <w:bookmarkEnd w:id="488"/>
          </w:p>
        </w:tc>
      </w:tr>
      <w:tr>
        <w:trPr/>
        <w:tc>
          <w:tcPr>
            <w:tcW w:w="2990" w:type="dxa"/>
            <w:tcBorders/>
            <w:shd w:fill="CCEEFF" w:val="clear"/>
            <w:tcMar>
              <w:bottom w:w="0" w:type="dxa"/>
            </w:tcMar>
            <w:vAlign w:val="center"/>
          </w:tcPr>
          <w:p>
            <w:pPr>
              <w:pStyle w:val="TableContents"/>
              <w:bidi w:val="0"/>
              <w:spacing w:before="0" w:after="283"/>
              <w:jc w:val="both"/>
              <w:rPr/>
            </w:pPr>
            <w:r>
              <w:rPr/>
              <w:t>Direct transaction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pPr>
            <w:r>
              <w:rPr/>
              <w:t>122,146</w:t>
            </w:r>
          </w:p>
        </w:tc>
        <w:tc>
          <w:tcPr>
            <w:tcW w:w="75" w:type="dxa"/>
            <w:tcBorders/>
            <w:shd w:fill="CCEEFF" w:val="clear"/>
            <w:tcMar>
              <w:bottom w:w="0" w:type="dxa"/>
            </w:tcMar>
            <w:vAlign w:val="center"/>
          </w:tcPr>
          <w:p>
            <w:pPr>
              <w:pStyle w:val="TableContents"/>
              <w:bidi w:val="0"/>
              <w:spacing w:before="0" w:after="283"/>
              <w:jc w:val="left"/>
              <w:rPr/>
            </w:pPr>
            <w:r>
              <w:rPr/>
              <w:t> </w:t>
            </w:r>
            <w:bookmarkStart w:id="489" w:name="xdx_403_eus-gaap--BusinessCombinationCon"/>
            <w:bookmarkEnd w:id="489"/>
          </w:p>
        </w:tc>
      </w:tr>
      <w:tr>
        <w:trPr/>
        <w:tc>
          <w:tcPr>
            <w:tcW w:w="2990" w:type="dxa"/>
            <w:tcBorders/>
            <w:shd w:fill="FFFFFF" w:val="clear"/>
            <w:tcMar>
              <w:bottom w:w="0" w:type="dxa"/>
            </w:tcMar>
            <w:vAlign w:val="center"/>
          </w:tcPr>
          <w:p>
            <w:pPr>
              <w:pStyle w:val="TableContents"/>
              <w:bidi w:val="0"/>
              <w:spacing w:before="0" w:after="283"/>
              <w:jc w:val="both"/>
              <w:rPr>
                <w:b/>
              </w:rPr>
            </w:pPr>
            <w:r>
              <w:rPr>
                <w:b/>
              </w:rPr>
              <w:t>Total purchase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vAlign w:val="center"/>
          </w:tcPr>
          <w:p>
            <w:pPr>
              <w:pStyle w:val="TableContents"/>
              <w:bidi w:val="0"/>
              <w:spacing w:before="0" w:after="283"/>
              <w:jc w:val="right"/>
              <w:rPr>
                <w:b/>
              </w:rPr>
            </w:pPr>
            <w:r>
              <w:rPr>
                <w:b/>
              </w:rPr>
              <w:t>3,477,749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0" w:name="xdx_8AF_zjNlZvvpy6Td"/>
      <w:bookmarkEnd w:id="49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guidance provided by ASC 805, Business Combinations, the Company recorded the CarePICS Acquisition as an asset acquisition due to the determination that substantially all the fair value of the assets acquired was concentrated in the CarePICS developed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1" w:name="xdx_89C_eus-gaap--ScheduleOfRecognizedId"/>
      <w:bookmarkEnd w:id="491"/>
      <w:r>
        <w:rPr>
          <w:rFonts w:ascii="Times New Roman;Times;Serif" w:hAnsi="Times New Roman;Times;Serif"/>
          <w:b w:val="false"/>
          <w:i w:val="false"/>
          <w:caps w:val="false"/>
          <w:smallCaps w:val="false"/>
          <w:sz w:val="20"/>
        </w:rPr>
        <w:t>The purchase consideration was allocated to the acquired assets and liabilities based on their relative fair value as follows:</w:t>
      </w:r>
    </w:p>
    <w:p>
      <w:pPr>
        <w:pStyle w:val="TextBody"/>
        <w:bidi w:val="0"/>
        <w:spacing w:before="0" w:after="0"/>
        <w:ind w:left="0" w:right="0" w:hanging="0"/>
        <w:jc w:val="both"/>
        <w:rPr>
          <w:caps w:val="false"/>
          <w:smallCaps w:val="false"/>
        </w:rPr>
      </w:pPr>
      <w:r>
        <w:rPr>
          <w:caps w:val="false"/>
          <w:smallCaps w:val="false"/>
        </w:rPr>
        <w:t> </w:t>
      </w:r>
      <w:bookmarkStart w:id="492" w:name="xdx_8B4_zBbtWlUe90Bl"/>
      <w:bookmarkEnd w:id="492"/>
      <w:r>
        <w:rPr>
          <w:rFonts w:ascii="Times New Roman;Times;Serif" w:hAnsi="Times New Roman;Times;Serif"/>
          <w:b w:val="false"/>
          <w:i w:val="false"/>
          <w:caps w:val="false"/>
          <w:smallCaps w:val="false"/>
          <w:sz w:val="20"/>
        </w:rPr>
        <w:t>SCHEDULE OF ACQUIRED ASSETS AND LIABILITIES</w:t>
      </w:r>
    </w:p>
    <w:tbl>
      <w:tblPr>
        <w:tblW w:w="3545" w:type="dxa"/>
        <w:jc w:val="left"/>
        <w:tblInd w:w="0" w:type="dxa"/>
        <w:tblLayout w:type="fixed"/>
        <w:tblCellMar>
          <w:top w:w="0" w:type="dxa"/>
          <w:left w:w="0" w:type="dxa"/>
          <w:bottom w:w="28" w:type="dxa"/>
          <w:right w:w="0" w:type="dxa"/>
        </w:tblCellMar>
      </w:tblPr>
      <w:tblGrid>
        <w:gridCol w:w="2180"/>
        <w:gridCol w:w="60"/>
        <w:gridCol w:w="140"/>
        <w:gridCol w:w="1055"/>
        <w:gridCol w:w="110"/>
      </w:tblGrid>
      <w:tr>
        <w:trPr/>
        <w:tc>
          <w:tcPr>
            <w:tcW w:w="2180" w:type="dxa"/>
            <w:tcBorders>
              <w:bottom w:val="single" w:sz="8" w:space="0" w:color="000000"/>
            </w:tcBorders>
            <w:vAlign w:val="center"/>
          </w:tcPr>
          <w:p>
            <w:pPr>
              <w:pStyle w:val="TableContents"/>
              <w:bidi w:val="0"/>
              <w:spacing w:before="0" w:after="283"/>
              <w:jc w:val="center"/>
              <w:rPr>
                <w:b/>
              </w:rPr>
            </w:pPr>
            <w:r>
              <w:rPr>
                <w:b/>
              </w:rPr>
              <w:t>Description</w:t>
            </w:r>
          </w:p>
        </w:tc>
        <w:tc>
          <w:tcPr>
            <w:tcW w:w="60" w:type="dxa"/>
            <w:tcBorders/>
            <w:tcMar>
              <w:bottom w:w="0" w:type="dxa"/>
            </w:tcMar>
            <w:vAlign w:val="center"/>
          </w:tcPr>
          <w:p>
            <w:pPr>
              <w:pStyle w:val="TableContents"/>
              <w:bidi w:val="0"/>
              <w:spacing w:before="0" w:after="283"/>
              <w:jc w:val="left"/>
              <w:rPr/>
            </w:pPr>
            <w:r>
              <w:rPr/>
              <w:t> </w:t>
            </w:r>
            <w:bookmarkStart w:id="493" w:name="xdx_49A_20250401__us-gaap--BusinessAcqui"/>
            <w:bookmarkEnd w:id="493"/>
          </w:p>
        </w:tc>
        <w:tc>
          <w:tcPr>
            <w:tcW w:w="1195"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bookmarkStart w:id="494" w:name="xdx_40A_eus-gaap--BusinessCombinationRec"/>
            <w:bookmarkEnd w:id="494"/>
          </w:p>
        </w:tc>
      </w:tr>
      <w:tr>
        <w:trPr/>
        <w:tc>
          <w:tcPr>
            <w:tcW w:w="2180" w:type="dxa"/>
            <w:tcBorders/>
            <w:shd w:fill="CCEEFF" w:val="clear"/>
            <w:tcMar>
              <w:bottom w:w="0" w:type="dxa"/>
            </w:tcMar>
            <w:vAlign w:val="center"/>
          </w:tcPr>
          <w:p>
            <w:pPr>
              <w:pStyle w:val="TableContents"/>
              <w:bidi w:val="0"/>
              <w:spacing w:before="0" w:after="283"/>
              <w:jc w:val="both"/>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5,127,749</w:t>
            </w:r>
          </w:p>
        </w:tc>
        <w:tc>
          <w:tcPr>
            <w:tcW w:w="110" w:type="dxa"/>
            <w:tcBorders/>
            <w:shd w:fill="CCEEFF" w:val="clear"/>
            <w:tcMar>
              <w:bottom w:w="0" w:type="dxa"/>
            </w:tcMar>
            <w:vAlign w:val="center"/>
          </w:tcPr>
          <w:p>
            <w:pPr>
              <w:pStyle w:val="TableContents"/>
              <w:bidi w:val="0"/>
              <w:spacing w:before="0" w:after="283"/>
              <w:jc w:val="left"/>
              <w:rPr/>
            </w:pPr>
            <w:r>
              <w:rPr/>
              <w:t> </w:t>
            </w:r>
            <w:bookmarkStart w:id="495" w:name="xdx_400_eus-gaap--BusinessCombinationRec"/>
            <w:bookmarkEnd w:id="495"/>
          </w:p>
        </w:tc>
      </w:tr>
      <w:tr>
        <w:trPr/>
        <w:tc>
          <w:tcPr>
            <w:tcW w:w="2180" w:type="dxa"/>
            <w:tcBorders/>
            <w:shd w:fill="FFFFFF" w:val="clear"/>
            <w:tcMar>
              <w:bottom w:w="0" w:type="dxa"/>
            </w:tcMar>
            <w:vAlign w:val="center"/>
          </w:tcPr>
          <w:p>
            <w:pPr>
              <w:pStyle w:val="TableContents"/>
              <w:bidi w:val="0"/>
              <w:spacing w:before="0" w:after="283"/>
              <w:jc w:val="both"/>
              <w:rPr/>
            </w:pPr>
            <w:r>
              <w:rPr/>
              <w:t>Debt assumed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(1,650,000</w:t>
            </w:r>
          </w:p>
        </w:tc>
        <w:tc>
          <w:tcPr>
            <w:tcW w:w="110" w:type="dxa"/>
            <w:tcBorders/>
            <w:shd w:fill="FFFFFF" w:val="clear"/>
            <w:tcMar>
              <w:bottom w:w="0" w:type="dxa"/>
            </w:tcMar>
            <w:vAlign w:val="center"/>
          </w:tcPr>
          <w:p>
            <w:pPr>
              <w:pStyle w:val="TableContents"/>
              <w:bidi w:val="0"/>
              <w:spacing w:before="0" w:after="283"/>
              <w:jc w:val="left"/>
              <w:rPr/>
            </w:pPr>
            <w:r>
              <w:rPr/>
              <w:t>)</w:t>
            </w:r>
            <w:bookmarkStart w:id="496" w:name="xdx_40C_eus-gaap--BusinessCombinationRec"/>
            <w:bookmarkEnd w:id="496"/>
          </w:p>
        </w:tc>
      </w:tr>
      <w:tr>
        <w:trPr/>
        <w:tc>
          <w:tcPr>
            <w:tcW w:w="2180" w:type="dxa"/>
            <w:tcBorders/>
            <w:shd w:fill="CCEEFF" w:val="clear"/>
            <w:tcMar>
              <w:bottom w:w="0" w:type="dxa"/>
            </w:tcMar>
            <w:vAlign w:val="center"/>
          </w:tcPr>
          <w:p>
            <w:pPr>
              <w:pStyle w:val="TableContents"/>
              <w:bidi w:val="0"/>
              <w:spacing w:before="0" w:after="283"/>
              <w:jc w:val="both"/>
              <w:rPr>
                <w:b/>
              </w:rPr>
            </w:pPr>
            <w:r>
              <w:rPr>
                <w:b/>
              </w:rPr>
              <w:t>Net 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vAlign w:val="center"/>
          </w:tcPr>
          <w:p>
            <w:pPr>
              <w:pStyle w:val="TableContents"/>
              <w:bidi w:val="0"/>
              <w:spacing w:before="0" w:after="283"/>
              <w:jc w:val="right"/>
              <w:rPr>
                <w:b/>
              </w:rPr>
            </w:pPr>
            <w:r>
              <w:rPr>
                <w:b/>
              </w:rPr>
              <w:t>3,477,749</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7" w:name="xdx_8A5_zpAociqiW9Hi"/>
      <w:bookmarkEnd w:id="49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CarePICS Closing Date, CarePICS was reported within the THP segment. Following the decision to discontinue THP in mid-September 2025, management determined that the technology developed by CarePICS held no value outside of the THP segment. Consequently, the carrying value of the CarePICS technology was fully impaired and written down to </w:t>
      </w:r>
      <w:bookmarkStart w:id="498" w:name="xdx_902_ecustom--CarryingValueOfIntangib"/>
      <w:bookmarkEnd w:id="498"/>
      <w:r>
        <w:rPr>
          <w:rFonts w:ascii="Times New Roman;Times;Serif" w:hAnsi="Times New Roman;Times;Serif"/>
          <w:b w:val="false"/>
          <w:i w:val="false"/>
          <w:caps w:val="false"/>
          <w:smallCaps w:val="false"/>
          <w:sz w:val="20"/>
        </w:rPr>
        <w:t xml:space="preserve">zero as of September 30, 2025. Additionally, the earnout liability related to the CarePICS acquisition was assessed and determined to be unattainable, resulting in the reduction of the contingent consideration liability to </w:t>
      </w:r>
      <w:bookmarkStart w:id="499" w:name="xdx_900_eus-gaap--AssetAcquisitionContin"/>
      <w:bookmarkEnd w:id="499"/>
      <w:r>
        <w:rPr>
          <w:rFonts w:ascii="Times New Roman;Times;Serif" w:hAnsi="Times New Roman;Times;Serif"/>
          <w:b w:val="false"/>
          <w:i w:val="false"/>
          <w:caps w:val="false"/>
          <w:smallCaps w:val="false"/>
          <w:sz w:val="20"/>
        </w:rPr>
        <w:t>zero with a corresponding adjustment to the acquired asset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0" w:name="xdx_801_eus-gaap--GoodwillAndIntangibleA"/>
      <w:bookmarkEnd w:id="500"/>
      <w:r>
        <w:rPr>
          <w:rFonts w:ascii="Times New Roman;Times;Serif" w:hAnsi="Times New Roman;Times;Serif"/>
          <w:b/>
          <w:i w:val="false"/>
          <w:caps w:val="false"/>
          <w:smallCaps w:val="false"/>
          <w:sz w:val="20"/>
        </w:rPr>
        <w:t xml:space="preserve">NOTE 5 — </w:t>
      </w:r>
      <w:bookmarkStart w:id="501" w:name="xdx_82E_z8xY5KgrxDe4"/>
      <w:bookmarkEnd w:id="501"/>
      <w:r>
        <w:rPr>
          <w:rFonts w:ascii="Times New Roman;Times;Serif" w:hAnsi="Times New Roman;Times;Serif"/>
          <w:b/>
          <w:i w:val="false"/>
          <w:caps w:val="false"/>
          <w:smallCaps w:val="false"/>
          <w:sz w:val="20"/>
        </w:rPr>
        <w:t>GOODWILL AND INTANGIBLES,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2" w:name="xdx_89F_eus-gaap--ScheduleOfGoodwillText"/>
      <w:bookmarkEnd w:id="502"/>
      <w:r>
        <w:rPr>
          <w:rFonts w:ascii="Times New Roman;Times;Serif" w:hAnsi="Times New Roman;Times;Serif"/>
          <w:b w:val="false"/>
          <w:i w:val="false"/>
          <w:caps w:val="false"/>
          <w:smallCaps w:val="false"/>
          <w:sz w:val="20"/>
        </w:rPr>
        <w:t>The changes in the carrying amount of the Company’s goodwill were as follows:</w:t>
      </w:r>
    </w:p>
    <w:p>
      <w:pPr>
        <w:pStyle w:val="TextBody"/>
        <w:bidi w:val="0"/>
        <w:spacing w:before="0" w:after="0"/>
        <w:ind w:left="0" w:right="0" w:hanging="0"/>
        <w:jc w:val="both"/>
        <w:rPr>
          <w:caps w:val="false"/>
          <w:smallCaps w:val="false"/>
        </w:rPr>
      </w:pPr>
      <w:r>
        <w:rPr>
          <w:caps w:val="false"/>
          <w:smallCaps w:val="false"/>
        </w:rPr>
        <w:t> </w:t>
      </w:r>
      <w:bookmarkStart w:id="503" w:name="xdx_8B9_z9sO6C6Svrm8"/>
      <w:bookmarkEnd w:id="503"/>
      <w:r>
        <w:rPr>
          <w:rFonts w:ascii="Times New Roman;Times;Serif" w:hAnsi="Times New Roman;Times;Serif"/>
          <w:b w:val="false"/>
          <w:i w:val="false"/>
          <w:caps w:val="false"/>
          <w:smallCaps w:val="false"/>
          <w:sz w:val="20"/>
        </w:rPr>
        <w:t>SCHEDULE OF CHANGES IN CARRYING AMOUNT OF GOODWILL</w:t>
      </w:r>
    </w:p>
    <w:tbl>
      <w:tblPr>
        <w:tblW w:w="4500" w:type="dxa"/>
        <w:jc w:val="left"/>
        <w:tblInd w:w="0" w:type="dxa"/>
        <w:tblLayout w:type="fixed"/>
        <w:tblCellMar>
          <w:top w:w="0" w:type="dxa"/>
          <w:left w:w="0" w:type="dxa"/>
          <w:bottom w:w="0" w:type="dxa"/>
          <w:right w:w="0" w:type="dxa"/>
        </w:tblCellMar>
      </w:tblPr>
      <w:tblGrid>
        <w:gridCol w:w="3245"/>
        <w:gridCol w:w="60"/>
        <w:gridCol w:w="140"/>
        <w:gridCol w:w="980"/>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4" w:name="xdx_4B6_zP0aw4NJAkvg"/>
            <w:bookmarkEnd w:id="504"/>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bookmarkStart w:id="505" w:name="xdx_430_c20250101__20251231_eus-gaap--Go"/>
            <w:bookmarkEnd w:id="505"/>
          </w:p>
        </w:tc>
      </w:tr>
      <w:tr>
        <w:trPr/>
        <w:tc>
          <w:tcPr>
            <w:tcW w:w="3245" w:type="dxa"/>
            <w:tcBorders/>
            <w:shd w:fill="CCEEFF" w:val="clear"/>
            <w:vAlign w:val="center"/>
          </w:tcPr>
          <w:p>
            <w:pPr>
              <w:pStyle w:val="TableContents"/>
              <w:bidi w:val="0"/>
              <w:spacing w:before="0" w:after="283"/>
              <w:jc w:val="both"/>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3,601,781</w:t>
            </w:r>
          </w:p>
        </w:tc>
        <w:tc>
          <w:tcPr>
            <w:tcW w:w="75" w:type="dxa"/>
            <w:tcBorders/>
            <w:shd w:fill="CCEEFF" w:val="clear"/>
            <w:vAlign w:val="center"/>
          </w:tcPr>
          <w:p>
            <w:pPr>
              <w:pStyle w:val="TableContents"/>
              <w:bidi w:val="0"/>
              <w:spacing w:before="0" w:after="283"/>
              <w:jc w:val="left"/>
              <w:rPr/>
            </w:pPr>
            <w:r>
              <w:rPr/>
              <w:t> </w:t>
            </w:r>
            <w:bookmarkStart w:id="506" w:name="xdx_407_eus-gaap--GoodwillAcquiredDuring"/>
            <w:bookmarkEnd w:id="506"/>
          </w:p>
        </w:tc>
      </w:tr>
      <w:tr>
        <w:trPr/>
        <w:tc>
          <w:tcPr>
            <w:tcW w:w="3245" w:type="dxa"/>
            <w:tcBorders/>
            <w:shd w:fill="FFFFFF" w:val="clear"/>
            <w:vAlign w:val="center"/>
          </w:tcPr>
          <w:p>
            <w:pPr>
              <w:pStyle w:val="TableContents"/>
              <w:bidi w:val="0"/>
              <w:spacing w:before="0" w:after="283"/>
              <w:jc w:val="both"/>
              <w:rPr/>
            </w:pPr>
            <w:r>
              <w:rPr/>
              <w:t>Acquisitions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07" w:name="xdx_437_c20260101__20260630_eus-gaap--Go"/>
            <w:bookmarkEnd w:id="507"/>
          </w:p>
        </w:tc>
      </w:tr>
      <w:tr>
        <w:trPr/>
        <w:tc>
          <w:tcPr>
            <w:tcW w:w="3245" w:type="dxa"/>
            <w:tcBorders/>
            <w:shd w:fill="CCEEFF" w:val="clear"/>
            <w:vAlign w:val="center"/>
          </w:tcPr>
          <w:p>
            <w:pPr>
              <w:pStyle w:val="TableContents"/>
              <w:bidi w:val="0"/>
              <w:spacing w:before="0" w:after="283"/>
              <w:jc w:val="both"/>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3,601,781</w:t>
            </w:r>
          </w:p>
        </w:tc>
        <w:tc>
          <w:tcPr>
            <w:tcW w:w="75" w:type="dxa"/>
            <w:tcBorders/>
            <w:shd w:fill="CCEEFF" w:val="clear"/>
            <w:vAlign w:val="center"/>
          </w:tcPr>
          <w:p>
            <w:pPr>
              <w:pStyle w:val="TableContents"/>
              <w:bidi w:val="0"/>
              <w:spacing w:before="0" w:after="283"/>
              <w:jc w:val="left"/>
              <w:rPr/>
            </w:pPr>
            <w:r>
              <w:rPr/>
              <w:t> </w:t>
            </w:r>
            <w:bookmarkStart w:id="508" w:name="xdx_434_c20260101__20260630_eus-gaap--Go"/>
            <w:bookmarkEnd w:id="508"/>
          </w:p>
        </w:tc>
      </w:tr>
      <w:tr>
        <w:trPr/>
        <w:tc>
          <w:tcPr>
            <w:tcW w:w="324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3,601,781</w:t>
            </w:r>
          </w:p>
        </w:tc>
        <w:tc>
          <w:tcPr>
            <w:tcW w:w="75" w:type="dxa"/>
            <w:tcBorders/>
            <w:shd w:fill="CCEEFF" w:val="clear"/>
            <w:vAlign w:val="center"/>
          </w:tcPr>
          <w:p>
            <w:pPr>
              <w:pStyle w:val="TableContents"/>
              <w:bidi w:val="0"/>
              <w:spacing w:before="0" w:after="283"/>
              <w:jc w:val="left"/>
              <w:rPr/>
            </w:pPr>
            <w:r>
              <w:rPr/>
              <w:t> </w:t>
            </w:r>
            <w:bookmarkStart w:id="509" w:name="xdx_409_eus-gaap--GoodwillAcquiredDuring"/>
            <w:bookmarkEnd w:id="509"/>
          </w:p>
        </w:tc>
      </w:tr>
      <w:tr>
        <w:trPr/>
        <w:tc>
          <w:tcPr>
            <w:tcW w:w="3245" w:type="dxa"/>
            <w:tcBorders/>
            <w:shd w:fill="FFFFFF" w:val="clear"/>
            <w:vAlign w:val="center"/>
          </w:tcPr>
          <w:p>
            <w:pPr>
              <w:pStyle w:val="TableContents"/>
              <w:bidi w:val="0"/>
              <w:spacing w:before="0" w:after="283"/>
              <w:jc w:val="both"/>
              <w:rPr/>
            </w:pPr>
            <w:r>
              <w:rPr/>
              <w:t>Acquisitions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10" w:name="xdx_433_c20260101__20260630_eus-gaap--Go"/>
            <w:bookmarkEnd w:id="510"/>
          </w:p>
        </w:tc>
      </w:tr>
      <w:tr>
        <w:trPr/>
        <w:tc>
          <w:tcPr>
            <w:tcW w:w="3245" w:type="dxa"/>
            <w:tcBorders/>
            <w:shd w:fill="CCEEFF" w:val="clear"/>
            <w:vAlign w:val="center"/>
          </w:tcPr>
          <w:p>
            <w:pPr>
              <w:pStyle w:val="TableContents"/>
              <w:bidi w:val="0"/>
              <w:spacing w:before="0" w:after="283"/>
              <w:jc w:val="both"/>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3,601,781</w:t>
            </w:r>
          </w:p>
        </w:tc>
        <w:tc>
          <w:tcPr>
            <w:tcW w:w="75" w:type="dxa"/>
            <w:tcBorders/>
            <w:shd w:fill="CCEEFF" w:val="clear"/>
            <w:vAlign w:val="center"/>
          </w:tcPr>
          <w:p>
            <w:pPr>
              <w:pStyle w:val="TableContents"/>
              <w:bidi w:val="0"/>
              <w:spacing w:before="0" w:after="283"/>
              <w:jc w:val="left"/>
              <w:rPr/>
            </w:pPr>
            <w:r>
              <w:rPr/>
              <w:t> </w:t>
            </w:r>
            <w:bookmarkStart w:id="511" w:name="xdx_439_c20260101__20260630_eus-gaap--Go"/>
            <w:bookmarkEnd w:id="511"/>
          </w:p>
        </w:tc>
      </w:tr>
      <w:tr>
        <w:trPr/>
        <w:tc>
          <w:tcPr>
            <w:tcW w:w="3245" w:type="dxa"/>
            <w:tcBorders/>
            <w:shd w:fill="CCEEFF" w:val="clear"/>
            <w:vAlign w:val="center"/>
          </w:tcPr>
          <w:p>
            <w:pPr>
              <w:pStyle w:val="TableContents"/>
              <w:bidi w:val="0"/>
              <w:spacing w:before="0" w:after="283"/>
              <w:jc w:val="both"/>
              <w:rPr>
                <w:b/>
              </w:rPr>
            </w:pPr>
            <w:r>
              <w:rPr>
                <w:b/>
              </w:rPr>
              <w:t>Ending 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3,601,781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2" w:name="xdx_8A9_zlnHSBeyUtK"/>
      <w:bookmarkEnd w:id="5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change in reportable operating segments in the second quarter of 2024, the Company reassessed goodwill as the single segment is presented in this report. The Company’s assessment determined that these changes, or any other matters noted, including the decision to discontinue THP in mid-September 2025, did not alter the Company’s conclusion that goodwill was not impaired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3" w:name="xdx_893_eus-gaap--ScheduleOfFiniteLivedI"/>
      <w:bookmarkEnd w:id="513"/>
      <w:r>
        <w:rPr>
          <w:rFonts w:ascii="Times New Roman;Times;Serif" w:hAnsi="Times New Roman;Times;Serif"/>
          <w:b w:val="false"/>
          <w:i w:val="false"/>
          <w:caps w:val="false"/>
          <w:smallCaps w:val="false"/>
          <w:sz w:val="20"/>
        </w:rPr>
        <w:t>The carrying values of the Company’s intangible assets were as follows for the periods presented:</w:t>
      </w:r>
    </w:p>
    <w:p>
      <w:pPr>
        <w:pStyle w:val="TextBody"/>
        <w:bidi w:val="0"/>
        <w:spacing w:before="0" w:after="0"/>
        <w:ind w:left="0" w:right="0" w:hanging="0"/>
        <w:jc w:val="both"/>
        <w:rPr>
          <w:caps w:val="false"/>
          <w:smallCaps w:val="false"/>
        </w:rPr>
      </w:pPr>
      <w:r>
        <w:rPr>
          <w:caps w:val="false"/>
          <w:smallCaps w:val="false"/>
        </w:rPr>
        <w:t> </w:t>
      </w:r>
      <w:bookmarkStart w:id="514" w:name="xdx_8BF_zn7xJF2DgO53"/>
      <w:bookmarkEnd w:id="514"/>
      <w:r>
        <w:rPr>
          <w:rFonts w:ascii="Times New Roman;Times;Serif" w:hAnsi="Times New Roman;Times;Serif"/>
          <w:b w:val="false"/>
          <w:i w:val="false"/>
          <w:caps w:val="false"/>
          <w:smallCaps w:val="false"/>
          <w:sz w:val="20"/>
        </w:rPr>
        <w:t>SCHEDULE OF CARRYING VALUE OF INTANGIBLE ASSETS</w:t>
      </w:r>
    </w:p>
    <w:tbl>
      <w:tblPr>
        <w:tblW w:w="10205" w:type="dxa"/>
        <w:jc w:val="left"/>
        <w:tblInd w:w="0" w:type="dxa"/>
        <w:tblLayout w:type="fixed"/>
        <w:tblCellMar>
          <w:top w:w="0" w:type="dxa"/>
          <w:left w:w="0" w:type="dxa"/>
          <w:bottom w:w="0" w:type="dxa"/>
          <w:right w:w="0" w:type="dxa"/>
        </w:tblCellMar>
      </w:tblPr>
      <w:tblGrid>
        <w:gridCol w:w="2050"/>
        <w:gridCol w:w="60"/>
        <w:gridCol w:w="140"/>
        <w:gridCol w:w="1100"/>
        <w:gridCol w:w="60"/>
        <w:gridCol w:w="60"/>
        <w:gridCol w:w="140"/>
        <w:gridCol w:w="1055"/>
        <w:gridCol w:w="95"/>
        <w:gridCol w:w="60"/>
        <w:gridCol w:w="140"/>
        <w:gridCol w:w="1100"/>
        <w:gridCol w:w="60"/>
        <w:gridCol w:w="60"/>
        <w:gridCol w:w="140"/>
        <w:gridCol w:w="1100"/>
        <w:gridCol w:w="60"/>
        <w:gridCol w:w="60"/>
        <w:gridCol w:w="140"/>
        <w:gridCol w:w="1055"/>
        <w:gridCol w:w="95"/>
        <w:gridCol w:w="60"/>
        <w:gridCol w:w="140"/>
        <w:gridCol w:w="1100"/>
        <w:gridCol w:w="75"/>
      </w:tblGrid>
      <w:tr>
        <w:trPr/>
        <w:tc>
          <w:tcPr>
            <w:tcW w:w="2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95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5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center"/>
              <w:rPr/>
            </w:pPr>
            <w:r>
              <w:rPr/>
              <w:t> </w:t>
            </w:r>
          </w:p>
        </w:tc>
      </w:tr>
      <w:tr>
        <w:trPr/>
        <w:tc>
          <w:tcPr>
            <w:tcW w:w="2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val="false"/>
              </w:rPr>
            </w:pPr>
            <w:r>
              <w:rPr>
                <w:b w:val="false"/>
              </w:rPr>
              <w:t>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val="false"/>
              </w:rPr>
            </w:pPr>
            <w:r>
              <w:rPr>
                <w:b w:val="false"/>
              </w:rPr>
              <w:t>Net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val="false"/>
              </w:rPr>
            </w:pPr>
            <w:r>
              <w:rPr>
                <w:b w:val="false"/>
              </w:rPr>
              <w:t>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val="false"/>
              </w:rPr>
            </w:pPr>
            <w:r>
              <w:rPr>
                <w:b w:val="false"/>
              </w:rPr>
              <w:t>Net</w:t>
            </w:r>
          </w:p>
        </w:tc>
        <w:tc>
          <w:tcPr>
            <w:tcW w:w="75" w:type="dxa"/>
            <w:tcBorders/>
            <w:vAlign w:val="center"/>
          </w:tcPr>
          <w:p>
            <w:pPr>
              <w:pStyle w:val="TableContents"/>
              <w:bidi w:val="0"/>
              <w:spacing w:before="0" w:after="283"/>
              <w:jc w:val="center"/>
              <w:rPr/>
            </w:pPr>
            <w:r>
              <w:rPr/>
              <w:t> </w:t>
            </w:r>
          </w:p>
        </w:tc>
      </w:tr>
      <w:tr>
        <w:trPr/>
        <w:tc>
          <w:tcPr>
            <w:tcW w:w="2050" w:type="dxa"/>
            <w:tcBorders/>
            <w:shd w:fill="CCEEFF" w:val="clear"/>
            <w:vAlign w:val="center"/>
          </w:tcPr>
          <w:p>
            <w:pPr>
              <w:pStyle w:val="TableContents"/>
              <w:bidi w:val="0"/>
              <w:spacing w:before="0" w:after="283"/>
              <w:jc w:val="left"/>
              <w:rPr>
                <w:b/>
              </w:rPr>
            </w:pPr>
            <w:r>
              <w:rPr>
                <w:b/>
              </w:rPr>
              <w:t>Amortizable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50" w:type="dxa"/>
            <w:tcBorders/>
            <w:shd w:fill="FFFFFF" w:val="clear"/>
            <w:vAlign w:val="center"/>
          </w:tcPr>
          <w:p>
            <w:pPr>
              <w:pStyle w:val="TableContents"/>
              <w:bidi w:val="0"/>
              <w:spacing w:before="0" w:after="283"/>
              <w:jc w:val="left"/>
              <w:rPr/>
            </w:pPr>
            <w:r>
              <w:rPr/>
              <w:t>Patents and Other IP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15" w:name="xdx_982_eus-gaap--IntangibleAssetsGrossE"/>
            <w:bookmarkEnd w:id="515"/>
          </w:p>
        </w:tc>
        <w:tc>
          <w:tcPr>
            <w:tcW w:w="1100" w:type="dxa"/>
            <w:tcBorders/>
            <w:shd w:fill="FFFFFF" w:val="clear"/>
            <w:vAlign w:val="center"/>
          </w:tcPr>
          <w:p>
            <w:pPr>
              <w:pStyle w:val="TableContents"/>
              <w:bidi w:val="0"/>
              <w:spacing w:before="0" w:after="283"/>
              <w:jc w:val="right"/>
              <w:rPr/>
            </w:pPr>
            <w:r>
              <w:rPr/>
              <w:t>16,062,801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16" w:name="xdx_986_eus-gaap--FiniteLivedIntangibleA"/>
            <w:bookmarkEnd w:id="516"/>
          </w:p>
        </w:tc>
        <w:tc>
          <w:tcPr>
            <w:tcW w:w="1055" w:type="dxa"/>
            <w:tcBorders/>
            <w:shd w:fill="FFFFFF" w:val="clear"/>
            <w:vAlign w:val="center"/>
          </w:tcPr>
          <w:p>
            <w:pPr>
              <w:pStyle w:val="TableContents"/>
              <w:bidi w:val="0"/>
              <w:spacing w:before="0" w:after="283"/>
              <w:jc w:val="right"/>
              <w:rPr/>
            </w:pPr>
            <w:r>
              <w:rPr/>
              <w:t>(3,161,204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17" w:name="xdx_989_eus-gaap--IntangibleAssetsNetExc"/>
            <w:bookmarkEnd w:id="517"/>
          </w:p>
        </w:tc>
        <w:tc>
          <w:tcPr>
            <w:tcW w:w="1100" w:type="dxa"/>
            <w:tcBorders/>
            <w:shd w:fill="FFFFFF" w:val="clear"/>
            <w:vAlign w:val="center"/>
          </w:tcPr>
          <w:p>
            <w:pPr>
              <w:pStyle w:val="TableContents"/>
              <w:bidi w:val="0"/>
              <w:spacing w:before="0" w:after="283"/>
              <w:jc w:val="right"/>
              <w:rPr/>
            </w:pPr>
            <w:r>
              <w:rPr/>
              <w:t>12,901,597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18" w:name="xdx_98C_eus-gaap--IntangibleAssetsGrossE"/>
            <w:bookmarkEnd w:id="518"/>
          </w:p>
        </w:tc>
        <w:tc>
          <w:tcPr>
            <w:tcW w:w="1100" w:type="dxa"/>
            <w:tcBorders/>
            <w:shd w:fill="FFFFFF" w:val="clear"/>
            <w:vAlign w:val="center"/>
          </w:tcPr>
          <w:p>
            <w:pPr>
              <w:pStyle w:val="TableContents"/>
              <w:bidi w:val="0"/>
              <w:spacing w:before="0" w:after="283"/>
              <w:jc w:val="right"/>
              <w:rPr/>
            </w:pPr>
            <w:r>
              <w:rPr/>
              <w:t>16,297,802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19" w:name="xdx_985_eus-gaap--FiniteLivedIntangibleA"/>
            <w:bookmarkEnd w:id="519"/>
          </w:p>
        </w:tc>
        <w:tc>
          <w:tcPr>
            <w:tcW w:w="1055" w:type="dxa"/>
            <w:tcBorders/>
            <w:shd w:fill="FFFFFF" w:val="clear"/>
            <w:vAlign w:val="center"/>
          </w:tcPr>
          <w:p>
            <w:pPr>
              <w:pStyle w:val="TableContents"/>
              <w:bidi w:val="0"/>
              <w:spacing w:before="0" w:after="283"/>
              <w:jc w:val="right"/>
              <w:rPr/>
            </w:pPr>
            <w:r>
              <w:rPr/>
              <w:t>(2,663,001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20" w:name="xdx_981_eus-gaap--IntangibleAssetsNetExc"/>
            <w:bookmarkEnd w:id="520"/>
          </w:p>
        </w:tc>
        <w:tc>
          <w:tcPr>
            <w:tcW w:w="1100" w:type="dxa"/>
            <w:tcBorders/>
            <w:shd w:fill="FFFFFF" w:val="clear"/>
            <w:vAlign w:val="center"/>
          </w:tcPr>
          <w:p>
            <w:pPr>
              <w:pStyle w:val="TableContents"/>
              <w:bidi w:val="0"/>
              <w:spacing w:before="0" w:after="283"/>
              <w:jc w:val="right"/>
              <w:rPr/>
            </w:pPr>
            <w:r>
              <w:rPr/>
              <w:t>13,634,801</w:t>
            </w:r>
          </w:p>
        </w:tc>
        <w:tc>
          <w:tcPr>
            <w:tcW w:w="75" w:type="dxa"/>
            <w:tcBorders/>
            <w:shd w:fill="FFFFFF" w:val="clear"/>
            <w:vAlign w:val="center"/>
          </w:tcPr>
          <w:p>
            <w:pPr>
              <w:pStyle w:val="TableContents"/>
              <w:bidi w:val="0"/>
              <w:spacing w:before="0" w:after="283"/>
              <w:jc w:val="left"/>
              <w:rPr/>
            </w:pPr>
            <w:r>
              <w:rPr/>
              <w:t> </w:t>
            </w:r>
          </w:p>
        </w:tc>
      </w:tr>
      <w:tr>
        <w:trPr/>
        <w:tc>
          <w:tcPr>
            <w:tcW w:w="2050" w:type="dxa"/>
            <w:tcBorders/>
            <w:shd w:fill="CCEEFF" w:val="clear"/>
            <w:vAlign w:val="center"/>
          </w:tcPr>
          <w:p>
            <w:pPr>
              <w:pStyle w:val="TableContents"/>
              <w:bidi w:val="0"/>
              <w:spacing w:before="0" w:after="283"/>
              <w:jc w:val="left"/>
              <w:rPr/>
            </w:pPr>
            <w:r>
              <w:rPr/>
              <w:t>Customer relationships and 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1" w:name="xdx_987_eus-gaap--IntangibleAssetsGrossE"/>
            <w:bookmarkEnd w:id="521"/>
          </w:p>
        </w:tc>
        <w:tc>
          <w:tcPr>
            <w:tcW w:w="1100" w:type="dxa"/>
            <w:tcBorders/>
            <w:shd w:fill="CCEEFF" w:val="clear"/>
            <w:vAlign w:val="center"/>
          </w:tcPr>
          <w:p>
            <w:pPr>
              <w:pStyle w:val="TableContents"/>
              <w:bidi w:val="0"/>
              <w:spacing w:before="0" w:after="283"/>
              <w:jc w:val="right"/>
              <w:rPr/>
            </w:pPr>
            <w:r>
              <w:rPr/>
              <w:t>7,260,008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2" w:name="xdx_981_eus-gaap--FiniteLivedIntangibleA"/>
            <w:bookmarkEnd w:id="522"/>
          </w:p>
        </w:tc>
        <w:tc>
          <w:tcPr>
            <w:tcW w:w="1055" w:type="dxa"/>
            <w:tcBorders/>
            <w:shd w:fill="CCEEFF" w:val="clear"/>
            <w:vAlign w:val="center"/>
          </w:tcPr>
          <w:p>
            <w:pPr>
              <w:pStyle w:val="TableContents"/>
              <w:bidi w:val="0"/>
              <w:spacing w:before="0" w:after="283"/>
              <w:jc w:val="right"/>
              <w:rPr/>
            </w:pPr>
            <w:r>
              <w:rPr/>
              <w:t>(4,193,579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3" w:name="xdx_987_eus-gaap--IntangibleAssetsNetExc"/>
            <w:bookmarkEnd w:id="523"/>
          </w:p>
        </w:tc>
        <w:tc>
          <w:tcPr>
            <w:tcW w:w="1100" w:type="dxa"/>
            <w:tcBorders/>
            <w:shd w:fill="CCEEFF" w:val="clear"/>
            <w:vAlign w:val="center"/>
          </w:tcPr>
          <w:p>
            <w:pPr>
              <w:pStyle w:val="TableContents"/>
              <w:bidi w:val="0"/>
              <w:spacing w:before="0" w:after="283"/>
              <w:jc w:val="right"/>
              <w:rPr/>
            </w:pPr>
            <w:r>
              <w:rPr/>
              <w:t>3,066,429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4" w:name="xdx_982_eus-gaap--IntangibleAssetsGrossE"/>
            <w:bookmarkEnd w:id="524"/>
          </w:p>
        </w:tc>
        <w:tc>
          <w:tcPr>
            <w:tcW w:w="1100" w:type="dxa"/>
            <w:tcBorders/>
            <w:shd w:fill="CCEEFF" w:val="clear"/>
            <w:vAlign w:val="center"/>
          </w:tcPr>
          <w:p>
            <w:pPr>
              <w:pStyle w:val="TableContents"/>
              <w:bidi w:val="0"/>
              <w:spacing w:before="0" w:after="283"/>
              <w:jc w:val="right"/>
              <w:rPr/>
            </w:pPr>
            <w:r>
              <w:rPr/>
              <w:t>7,260,008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5" w:name="xdx_981_eus-gaap--FiniteLivedIntangibleA"/>
            <w:bookmarkEnd w:id="525"/>
          </w:p>
        </w:tc>
        <w:tc>
          <w:tcPr>
            <w:tcW w:w="1055" w:type="dxa"/>
            <w:tcBorders/>
            <w:shd w:fill="CCEEFF" w:val="clear"/>
            <w:vAlign w:val="center"/>
          </w:tcPr>
          <w:p>
            <w:pPr>
              <w:pStyle w:val="TableContents"/>
              <w:bidi w:val="0"/>
              <w:spacing w:before="0" w:after="283"/>
              <w:jc w:val="right"/>
              <w:rPr/>
            </w:pPr>
            <w:r>
              <w:rPr/>
              <w:t>(3,676,205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6" w:name="xdx_986_eus-gaap--IntangibleAssetsNetExc"/>
            <w:bookmarkEnd w:id="526"/>
          </w:p>
        </w:tc>
        <w:tc>
          <w:tcPr>
            <w:tcW w:w="1100" w:type="dxa"/>
            <w:tcBorders/>
            <w:shd w:fill="CCEEFF" w:val="clear"/>
            <w:vAlign w:val="center"/>
          </w:tcPr>
          <w:p>
            <w:pPr>
              <w:pStyle w:val="TableContents"/>
              <w:bidi w:val="0"/>
              <w:spacing w:before="0" w:after="283"/>
              <w:jc w:val="right"/>
              <w:rPr/>
            </w:pPr>
            <w:r>
              <w:rPr/>
              <w:t>3,583,803</w:t>
            </w:r>
          </w:p>
        </w:tc>
        <w:tc>
          <w:tcPr>
            <w:tcW w:w="75" w:type="dxa"/>
            <w:tcBorders/>
            <w:shd w:fill="CCEEFF" w:val="clear"/>
            <w:vAlign w:val="center"/>
          </w:tcPr>
          <w:p>
            <w:pPr>
              <w:pStyle w:val="TableContents"/>
              <w:bidi w:val="0"/>
              <w:spacing w:before="0" w:after="283"/>
              <w:jc w:val="left"/>
              <w:rPr/>
            </w:pPr>
            <w:r>
              <w:rPr/>
              <w:t> </w:t>
            </w:r>
          </w:p>
        </w:tc>
      </w:tr>
      <w:tr>
        <w:trPr/>
        <w:tc>
          <w:tcPr>
            <w:tcW w:w="2050"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7" w:name="xdx_984_eus-gaap--IntangibleAssetsGrossE"/>
            <w:bookmarkEnd w:id="52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8" w:name="xdx_980_eus-gaap--FiniteLivedIntangibleA"/>
            <w:bookmarkEnd w:id="528"/>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(1,441,013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9" w:name="xdx_98C_eus-gaap--IntangibleAssetsNetExc"/>
            <w:bookmarkEnd w:id="529"/>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1,308,987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0" w:name="xdx_981_eus-gaap--IntangibleAssetsGrossE"/>
            <w:bookmarkEnd w:id="53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1" w:name="xdx_985_eus-gaap--FiniteLivedIntangibleA"/>
            <w:bookmarkEnd w:id="531"/>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(1,327,931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2" w:name="xdx_98A_eus-gaap--IntangibleAssetsNetExc"/>
            <w:bookmarkEnd w:id="53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1,422,069</w:t>
            </w:r>
          </w:p>
        </w:tc>
        <w:tc>
          <w:tcPr>
            <w:tcW w:w="75" w:type="dxa"/>
            <w:tcBorders/>
            <w:shd w:fill="FFFFFF" w:val="clear"/>
            <w:vAlign w:val="center"/>
          </w:tcPr>
          <w:p>
            <w:pPr>
              <w:pStyle w:val="TableContents"/>
              <w:bidi w:val="0"/>
              <w:spacing w:before="0" w:after="283"/>
              <w:jc w:val="left"/>
              <w:rPr/>
            </w:pPr>
            <w:r>
              <w:rPr/>
              <w:t> </w:t>
            </w:r>
          </w:p>
        </w:tc>
      </w:tr>
      <w:tr>
        <w:trPr/>
        <w:tc>
          <w:tcPr>
            <w:tcW w:w="205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33" w:name="xdx_982_eus-gaap--IntangibleAssetsGrossE"/>
            <w:bookmarkEnd w:id="53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26,072,809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34" w:name="xdx_98A_eus-gaap--FiniteLivedIntangibleA"/>
            <w:bookmarkEnd w:id="534"/>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(8,795,796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35" w:name="xdx_986_eus-gaap--IntangibleAssetsNetExc"/>
            <w:bookmarkEnd w:id="53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17,277,013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36" w:name="xdx_980_eus-gaap--IntangibleAssetsGrossE"/>
            <w:bookmarkEnd w:id="53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26,307,810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37" w:name="xdx_98C_eus-gaap--FiniteLivedIntangibleA"/>
            <w:bookmarkEnd w:id="537"/>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(7,667,137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38" w:name="xdx_983_eus-gaap--IntangibleAssetsNetExc"/>
            <w:bookmarkEnd w:id="53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18,640,673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9" w:name="xdx_8A8_zFXwfrYW6mra"/>
      <w:bookmarkEnd w:id="5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weighted-average amortization period for finite-lived intangible assets was </w:t>
      </w:r>
      <w:bookmarkStart w:id="540" w:name="xdx_90A_eus-gaap--AcquiredFiniteLivedInt"/>
      <w:bookmarkEnd w:id="540"/>
      <w:r>
        <w:rPr>
          <w:rFonts w:ascii="Times New Roman;Times;Serif" w:hAnsi="Times New Roman;Times;Serif"/>
          <w:b w:val="false"/>
          <w:i w:val="false"/>
          <w:caps w:val="false"/>
          <w:smallCaps w:val="false"/>
          <w:sz w:val="20"/>
        </w:rPr>
        <w:t>12.5 years. Amortization expense related to intangible assets was $</w:t>
      </w:r>
      <w:bookmarkStart w:id="541" w:name="xdx_907_eus-gaap--AmortizationOfIntangib"/>
      <w:bookmarkEnd w:id="541"/>
      <w:r>
        <w:rPr>
          <w:rFonts w:ascii="Times New Roman;Times;Serif" w:hAnsi="Times New Roman;Times;Serif"/>
          <w:b w:val="false"/>
          <w:i w:val="false"/>
          <w:caps w:val="false"/>
          <w:smallCaps w:val="false"/>
          <w:sz w:val="20"/>
        </w:rPr>
        <w:t>583,260 and $</w:t>
      </w:r>
      <w:bookmarkStart w:id="542" w:name="xdx_906_eus-gaap--AmortizationOfIntangib"/>
      <w:bookmarkEnd w:id="542"/>
      <w:r>
        <w:rPr>
          <w:rFonts w:ascii="Times New Roman;Times;Serif" w:hAnsi="Times New Roman;Times;Serif"/>
          <w:b w:val="false"/>
          <w:i w:val="false"/>
          <w:caps w:val="false"/>
          <w:smallCaps w:val="false"/>
          <w:sz w:val="20"/>
        </w:rPr>
        <w:t>643,196 for the three months ended June 30, 2026 and 2025, respectively, and $</w:t>
      </w:r>
      <w:bookmarkStart w:id="543" w:name="xdx_901_eus-gaap--AmortizationOfIntangib"/>
      <w:bookmarkEnd w:id="543"/>
      <w:r>
        <w:rPr>
          <w:rFonts w:ascii="Times New Roman;Times;Serif" w:hAnsi="Times New Roman;Times;Serif"/>
          <w:b w:val="false"/>
          <w:i w:val="false"/>
          <w:caps w:val="false"/>
          <w:smallCaps w:val="false"/>
          <w:sz w:val="20"/>
        </w:rPr>
        <w:t>1,128,659 and $</w:t>
      </w:r>
      <w:bookmarkStart w:id="544" w:name="xdx_90C_eus-gaap--AmortizationOfIntangib"/>
      <w:bookmarkEnd w:id="544"/>
      <w:r>
        <w:rPr>
          <w:rFonts w:ascii="Times New Roman;Times;Serif" w:hAnsi="Times New Roman;Times;Serif"/>
          <w:b w:val="false"/>
          <w:i w:val="false"/>
          <w:caps w:val="false"/>
          <w:smallCaps w:val="false"/>
          <w:sz w:val="20"/>
        </w:rPr>
        <w:t>1,290,970 for the six months ended June 30, 2026 and 2025, respectively. Amortization expense related to intangible assets included in discontinued operations was $</w:t>
      </w:r>
      <w:bookmarkStart w:id="545" w:name="xdx_90D_eus-gaap--DepreciationAndAmortiz"/>
      <w:bookmarkEnd w:id="545"/>
      <w:r>
        <w:rPr>
          <w:rFonts w:ascii="Times New Roman;Times;Serif" w:hAnsi="Times New Roman;Times;Serif"/>
          <w:b w:val="false"/>
          <w:i w:val="false"/>
          <w:caps w:val="false"/>
          <w:smallCaps w:val="false"/>
          <w:sz w:val="20"/>
        </w:rPr>
        <w:t>425,685 and $</w:t>
      </w:r>
      <w:bookmarkStart w:id="546" w:name="xdx_908_eus-gaap--DepreciationAndAmortiz"/>
      <w:bookmarkEnd w:id="546"/>
      <w:r>
        <w:rPr>
          <w:rFonts w:ascii="Times New Roman;Times;Serif" w:hAnsi="Times New Roman;Times;Serif"/>
          <w:b w:val="false"/>
          <w:i w:val="false"/>
          <w:caps w:val="false"/>
          <w:smallCaps w:val="false"/>
          <w:sz w:val="20"/>
        </w:rPr>
        <w:t>856,063 for the three and six months ended June 30, 2025,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7" w:name="xdx_89C_eus-gaap--ScheduleofFiniteLivedI"/>
      <w:bookmarkEnd w:id="547"/>
      <w:r>
        <w:rPr>
          <w:rFonts w:ascii="Times New Roman;Times;Serif" w:hAnsi="Times New Roman;Times;Serif"/>
          <w:b w:val="false"/>
          <w:i w:val="false"/>
          <w:caps w:val="false"/>
          <w:smallCaps w:val="false"/>
          <w:sz w:val="20"/>
        </w:rPr>
        <w:t>The estimated remaining amortization expense as of June 30, 2026 for finite-lived intangible assets is as follows:</w:t>
      </w:r>
    </w:p>
    <w:p>
      <w:pPr>
        <w:pStyle w:val="TextBody"/>
        <w:bidi w:val="0"/>
        <w:spacing w:before="0" w:after="0"/>
        <w:ind w:left="0" w:right="0" w:hanging="0"/>
        <w:jc w:val="both"/>
        <w:rPr>
          <w:caps w:val="false"/>
          <w:smallCaps w:val="false"/>
        </w:rPr>
      </w:pPr>
      <w:r>
        <w:rPr>
          <w:caps w:val="false"/>
          <w:smallCaps w:val="false"/>
        </w:rPr>
        <w:t> </w:t>
      </w:r>
      <w:bookmarkStart w:id="548" w:name="xdx_8BA_zKftJSE8fF7"/>
      <w:bookmarkEnd w:id="548"/>
      <w:r>
        <w:rPr>
          <w:rFonts w:ascii="Times New Roman;Times;Serif" w:hAnsi="Times New Roman;Times;Serif"/>
          <w:b w:val="false"/>
          <w:i w:val="false"/>
          <w:caps w:val="false"/>
          <w:smallCaps w:val="false"/>
          <w:sz w:val="20"/>
        </w:rPr>
        <w:t>SCHEDULE OF FUTURE AMORTIZATION EXPENSE</w:t>
      </w:r>
    </w:p>
    <w:tbl>
      <w:tblPr>
        <w:tblW w:w="3240" w:type="dxa"/>
        <w:jc w:val="left"/>
        <w:tblInd w:w="0" w:type="dxa"/>
        <w:tblLayout w:type="fixed"/>
        <w:tblCellMar>
          <w:top w:w="0" w:type="dxa"/>
          <w:left w:w="0" w:type="dxa"/>
          <w:bottom w:w="0" w:type="dxa"/>
          <w:right w:w="0" w:type="dxa"/>
        </w:tblCellMar>
      </w:tblPr>
      <w:tblGrid>
        <w:gridCol w:w="1865"/>
        <w:gridCol w:w="60"/>
        <w:gridCol w:w="140"/>
        <w:gridCol w:w="1100"/>
        <w:gridCol w:w="75"/>
      </w:tblGrid>
      <w:tr>
        <w:trPr/>
        <w:tc>
          <w:tcPr>
            <w:tcW w:w="186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9" w:name="xdx_493_20260630_zwzi5yNzfflf"/>
            <w:bookmarkEnd w:id="549"/>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50" w:name="xdx_400_eus-gaap--FiniteLivedIntangibleA"/>
            <w:bookmarkEnd w:id="550"/>
          </w:p>
        </w:tc>
      </w:tr>
      <w:tr>
        <w:trPr/>
        <w:tc>
          <w:tcPr>
            <w:tcW w:w="1865" w:type="dxa"/>
            <w:tcBorders/>
            <w:shd w:fill="CCEEFF" w:val="clear"/>
            <w:vAlign w:val="center"/>
          </w:tcPr>
          <w:p>
            <w:pPr>
              <w:pStyle w:val="TableContents"/>
              <w:bidi w:val="0"/>
              <w:spacing w:before="0" w:after="283"/>
              <w:jc w:val="both"/>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1,160,217</w:t>
            </w:r>
          </w:p>
        </w:tc>
        <w:tc>
          <w:tcPr>
            <w:tcW w:w="75" w:type="dxa"/>
            <w:tcBorders/>
            <w:shd w:fill="CCEEFF" w:val="clear"/>
            <w:vAlign w:val="center"/>
          </w:tcPr>
          <w:p>
            <w:pPr>
              <w:pStyle w:val="TableContents"/>
              <w:bidi w:val="0"/>
              <w:spacing w:before="0" w:after="283"/>
              <w:jc w:val="left"/>
              <w:rPr/>
            </w:pPr>
            <w:r>
              <w:rPr/>
              <w:t> </w:t>
            </w:r>
            <w:bookmarkStart w:id="551" w:name="xdx_40B_eus-gaap--FiniteLivedIntangibleA"/>
            <w:bookmarkEnd w:id="551"/>
          </w:p>
        </w:tc>
      </w:tr>
      <w:tr>
        <w:trPr/>
        <w:tc>
          <w:tcPr>
            <w:tcW w:w="1865"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2,320,435</w:t>
            </w:r>
          </w:p>
        </w:tc>
        <w:tc>
          <w:tcPr>
            <w:tcW w:w="75" w:type="dxa"/>
            <w:tcBorders/>
            <w:shd w:fill="FFFFFF" w:val="clear"/>
            <w:vAlign w:val="center"/>
          </w:tcPr>
          <w:p>
            <w:pPr>
              <w:pStyle w:val="TableContents"/>
              <w:bidi w:val="0"/>
              <w:spacing w:before="0" w:after="283"/>
              <w:jc w:val="left"/>
              <w:rPr/>
            </w:pPr>
            <w:r>
              <w:rPr/>
              <w:t> </w:t>
            </w:r>
            <w:bookmarkStart w:id="552" w:name="xdx_404_eus-gaap--FiniteLivedIntangibleA"/>
            <w:bookmarkEnd w:id="552"/>
          </w:p>
        </w:tc>
      </w:tr>
      <w:tr>
        <w:trPr/>
        <w:tc>
          <w:tcPr>
            <w:tcW w:w="1865" w:type="dxa"/>
            <w:tcBorders/>
            <w:shd w:fill="CCEEFF" w:val="clear"/>
            <w:vAlign w:val="center"/>
          </w:tcPr>
          <w:p>
            <w:pPr>
              <w:pStyle w:val="TableContents"/>
              <w:bidi w:val="0"/>
              <w:spacing w:before="0" w:after="283"/>
              <w:jc w:val="both"/>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2,320,435</w:t>
            </w:r>
          </w:p>
        </w:tc>
        <w:tc>
          <w:tcPr>
            <w:tcW w:w="75" w:type="dxa"/>
            <w:tcBorders/>
            <w:shd w:fill="CCEEFF" w:val="clear"/>
            <w:vAlign w:val="center"/>
          </w:tcPr>
          <w:p>
            <w:pPr>
              <w:pStyle w:val="TableContents"/>
              <w:bidi w:val="0"/>
              <w:spacing w:before="0" w:after="283"/>
              <w:jc w:val="left"/>
              <w:rPr/>
            </w:pPr>
            <w:r>
              <w:rPr/>
              <w:t> </w:t>
            </w:r>
            <w:bookmarkStart w:id="553" w:name="xdx_40D_eus-gaap--FiniteLivedIntangibleA"/>
            <w:bookmarkEnd w:id="553"/>
          </w:p>
        </w:tc>
      </w:tr>
      <w:tr>
        <w:trPr/>
        <w:tc>
          <w:tcPr>
            <w:tcW w:w="1865" w:type="dxa"/>
            <w:tcBorders/>
            <w:shd w:fill="FFFFFF" w:val="clear"/>
            <w:vAlign w:val="center"/>
          </w:tcPr>
          <w:p>
            <w:pPr>
              <w:pStyle w:val="TableContents"/>
              <w:bidi w:val="0"/>
              <w:spacing w:before="0" w:after="283"/>
              <w:jc w:val="both"/>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1,809,364</w:t>
            </w:r>
          </w:p>
        </w:tc>
        <w:tc>
          <w:tcPr>
            <w:tcW w:w="75" w:type="dxa"/>
            <w:tcBorders/>
            <w:shd w:fill="FFFFFF" w:val="clear"/>
            <w:vAlign w:val="center"/>
          </w:tcPr>
          <w:p>
            <w:pPr>
              <w:pStyle w:val="TableContents"/>
              <w:bidi w:val="0"/>
              <w:spacing w:before="0" w:after="283"/>
              <w:jc w:val="left"/>
              <w:rPr/>
            </w:pPr>
            <w:r>
              <w:rPr/>
              <w:t> </w:t>
            </w:r>
            <w:bookmarkStart w:id="554" w:name="xdx_400_eus-gaap--FiniteLivedIntangibleA"/>
            <w:bookmarkEnd w:id="554"/>
          </w:p>
        </w:tc>
      </w:tr>
      <w:tr>
        <w:trPr/>
        <w:tc>
          <w:tcPr>
            <w:tcW w:w="1865" w:type="dxa"/>
            <w:tcBorders/>
            <w:shd w:fill="CCEEFF" w:val="clear"/>
            <w:vAlign w:val="center"/>
          </w:tcPr>
          <w:p>
            <w:pPr>
              <w:pStyle w:val="TableContents"/>
              <w:bidi w:val="0"/>
              <w:spacing w:before="0" w:after="283"/>
              <w:jc w:val="both"/>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1,298,292</w:t>
            </w:r>
          </w:p>
        </w:tc>
        <w:tc>
          <w:tcPr>
            <w:tcW w:w="75" w:type="dxa"/>
            <w:tcBorders/>
            <w:shd w:fill="CCEEFF" w:val="clear"/>
            <w:vAlign w:val="center"/>
          </w:tcPr>
          <w:p>
            <w:pPr>
              <w:pStyle w:val="TableContents"/>
              <w:bidi w:val="0"/>
              <w:spacing w:before="0" w:after="283"/>
              <w:jc w:val="left"/>
              <w:rPr/>
            </w:pPr>
            <w:r>
              <w:rPr/>
              <w:t> </w:t>
            </w:r>
            <w:bookmarkStart w:id="555" w:name="xdx_402_eus-gaap--FiniteLivedIntangibleA"/>
            <w:bookmarkEnd w:id="555"/>
          </w:p>
        </w:tc>
      </w:tr>
      <w:tr>
        <w:trPr/>
        <w:tc>
          <w:tcPr>
            <w:tcW w:w="1865" w:type="dxa"/>
            <w:tcBorders/>
            <w:shd w:fill="FFFFFF" w:val="clear"/>
            <w:vAlign w:val="center"/>
          </w:tcPr>
          <w:p>
            <w:pPr>
              <w:pStyle w:val="TableContents"/>
              <w:bidi w:val="0"/>
              <w:spacing w:before="0" w:after="283"/>
              <w:jc w:val="both"/>
              <w:rPr/>
            </w:pPr>
            <w:r>
              <w:rPr/>
              <w:t>2031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1,298,292</w:t>
            </w:r>
          </w:p>
        </w:tc>
        <w:tc>
          <w:tcPr>
            <w:tcW w:w="75" w:type="dxa"/>
            <w:tcBorders/>
            <w:shd w:fill="FFFFFF" w:val="clear"/>
            <w:vAlign w:val="center"/>
          </w:tcPr>
          <w:p>
            <w:pPr>
              <w:pStyle w:val="TableContents"/>
              <w:bidi w:val="0"/>
              <w:spacing w:before="0" w:after="283"/>
              <w:jc w:val="left"/>
              <w:rPr/>
            </w:pPr>
            <w:r>
              <w:rPr/>
              <w:t> </w:t>
            </w:r>
            <w:bookmarkStart w:id="556" w:name="xdx_40D_eus-gaap--FiniteLivedIntangibleA"/>
            <w:bookmarkEnd w:id="556"/>
          </w:p>
        </w:tc>
      </w:tr>
      <w:tr>
        <w:trPr/>
        <w:tc>
          <w:tcPr>
            <w:tcW w:w="1865" w:type="dxa"/>
            <w:tcBorders/>
            <w:shd w:fill="CCEEFF" w:val="clear"/>
            <w:vAlign w:val="center"/>
          </w:tcPr>
          <w:p>
            <w:pPr>
              <w:pStyle w:val="TableContents"/>
              <w:bidi w:val="0"/>
              <w:spacing w:before="0" w:after="283"/>
              <w:jc w:val="both"/>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7,069,978</w:t>
            </w:r>
          </w:p>
        </w:tc>
        <w:tc>
          <w:tcPr>
            <w:tcW w:w="75" w:type="dxa"/>
            <w:tcBorders/>
            <w:shd w:fill="CCEEFF" w:val="clear"/>
            <w:vAlign w:val="center"/>
          </w:tcPr>
          <w:p>
            <w:pPr>
              <w:pStyle w:val="TableContents"/>
              <w:bidi w:val="0"/>
              <w:spacing w:before="0" w:after="283"/>
              <w:jc w:val="left"/>
              <w:rPr/>
            </w:pPr>
            <w:r>
              <w:rPr/>
              <w:t> </w:t>
            </w:r>
            <w:bookmarkStart w:id="557" w:name="xdx_400_eus-gaap--FiniteLivedIntangibleA"/>
            <w:bookmarkEnd w:id="557"/>
          </w:p>
        </w:tc>
      </w:tr>
      <w:tr>
        <w:trPr/>
        <w:tc>
          <w:tcPr>
            <w:tcW w:w="1865"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17,277,013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8" w:name="xdx_8A8_zoEOGIVbl69f"/>
      <w:bookmarkEnd w:id="55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9" w:name="xdx_800_eus-gaap--InvestmentHoldingsText"/>
      <w:bookmarkEnd w:id="559"/>
      <w:r>
        <w:rPr>
          <w:rFonts w:ascii="Times New Roman;Times;Serif" w:hAnsi="Times New Roman;Times;Serif"/>
          <w:b/>
          <w:i w:val="false"/>
          <w:caps w:val="false"/>
          <w:smallCaps w:val="false"/>
          <w:sz w:val="20"/>
        </w:rPr>
        <w:t xml:space="preserve">NOTE 6 — </w:t>
      </w:r>
      <w:bookmarkStart w:id="560" w:name="xdx_824_zw6RJgljhyH3"/>
      <w:bookmarkEnd w:id="560"/>
      <w:r>
        <w:rPr>
          <w:rFonts w:ascii="Times New Roman;Times;Serif" w:hAnsi="Times New Roman;Times;Serif"/>
          <w:b/>
          <w:i w:val="false"/>
          <w:caps w:val="false"/>
          <w:smallCaps w:val="false"/>
          <w:sz w:val="20"/>
        </w:rPr>
        <w:t>INVESTMENTS IN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equity investments consist of nonmarketable equity securities in privately held companies without readily determinable fair values. Unless accounted for under the equity method of accounting, the investments are reported at cost minus impairment, if any, plus or minus changes resulting from observable price changes in orderly transactions for the identical or similar investment of the same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BMI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entered into a share subscription and shareholders’ agreement (the “Subscription Agreement”), pursuant to which the Company made an initial cash investment in BMI totaling approximately $</w:t>
      </w:r>
      <w:bookmarkStart w:id="561" w:name="xdx_902_eus-gaap--Investments_iI_pn5n6_c"/>
      <w:bookmarkEnd w:id="561"/>
      <w:r>
        <w:rPr>
          <w:rFonts w:ascii="Times New Roman;Times;Serif" w:hAnsi="Times New Roman;Times;Serif"/>
          <w:b w:val="false"/>
          <w:i w:val="false"/>
          <w:caps w:val="false"/>
          <w:smallCaps w:val="false"/>
          <w:sz w:val="20"/>
        </w:rPr>
        <w:t>3.1 million (€</w:t>
      </w:r>
      <w:bookmarkStart w:id="562" w:name="xdx_90E_eus-gaap--Investments_iI_pn5n6_u"/>
      <w:bookmarkEnd w:id="562"/>
      <w:r>
        <w:rPr>
          <w:rFonts w:ascii="Times New Roman;Times;Serif" w:hAnsi="Times New Roman;Times;Serif"/>
          <w:b w:val="false"/>
          <w:i w:val="false"/>
          <w:caps w:val="false"/>
          <w:smallCaps w:val="false"/>
          <w:sz w:val="20"/>
        </w:rPr>
        <w:t>3.0 million). The initial cash investment and the previously disclosed convertible loan to BMI of $</w:t>
      </w:r>
      <w:bookmarkStart w:id="563" w:name="xdx_900_eus-gaap--ConvertibleDebt_iI_pn5"/>
      <w:bookmarkEnd w:id="563"/>
      <w:r>
        <w:rPr>
          <w:rFonts w:ascii="Times New Roman;Times;Serif" w:hAnsi="Times New Roman;Times;Serif"/>
          <w:b w:val="false"/>
          <w:i w:val="false"/>
          <w:caps w:val="false"/>
          <w:smallCaps w:val="false"/>
          <w:sz w:val="20"/>
        </w:rPr>
        <w:t>1.1 million (€</w:t>
      </w:r>
      <w:bookmarkStart w:id="564" w:name="xdx_903_eus-gaap--ConvertibleDebt_iI_pn5"/>
      <w:bookmarkEnd w:id="564"/>
      <w:r>
        <w:rPr>
          <w:rFonts w:ascii="Times New Roman;Times;Serif" w:hAnsi="Times New Roman;Times;Serif"/>
          <w:b w:val="false"/>
          <w:i w:val="false"/>
          <w:caps w:val="false"/>
          <w:smallCaps w:val="false"/>
          <w:sz w:val="20"/>
        </w:rPr>
        <w:t xml:space="preserve">1.0 million), were converted into </w:t>
      </w:r>
      <w:bookmarkStart w:id="565" w:name="xdx_904_eus-gaap--StockIssuedDuringPerio"/>
      <w:bookmarkEnd w:id="565"/>
      <w:r>
        <w:rPr>
          <w:rFonts w:ascii="Times New Roman;Times;Serif" w:hAnsi="Times New Roman;Times;Serif"/>
          <w:b w:val="false"/>
          <w:i w:val="false"/>
          <w:caps w:val="false"/>
          <w:smallCaps w:val="false"/>
          <w:sz w:val="20"/>
        </w:rPr>
        <w:t xml:space="preserve">8,230 ordinary shares of BMI, constituting approximately </w:t>
      </w:r>
      <w:bookmarkStart w:id="566" w:name="xdx_904_ecustom--OutstandingEquityPercen"/>
      <w:bookmarkEnd w:id="566"/>
      <w:r>
        <w:rPr>
          <w:rFonts w:ascii="Times New Roman;Times;Serif" w:hAnsi="Times New Roman;Times;Serif"/>
          <w:b w:val="false"/>
          <w:i w:val="false"/>
          <w:caps w:val="false"/>
          <w:smallCaps w:val="false"/>
          <w:sz w:val="20"/>
        </w:rPr>
        <w:t>6.67% of the outstanding equity of BMI as of January 16, 2025. The Company also agreed to contribute an additional €</w:t>
      </w:r>
      <w:bookmarkStart w:id="567" w:name="xdx_905_ecustom--AdditionalContribution_"/>
      <w:bookmarkEnd w:id="567"/>
      <w:r>
        <w:rPr>
          <w:rFonts w:ascii="Times New Roman;Times;Serif" w:hAnsi="Times New Roman;Times;Serif"/>
          <w:b w:val="false"/>
          <w:i w:val="false"/>
          <w:caps w:val="false"/>
          <w:smallCaps w:val="false"/>
          <w:sz w:val="20"/>
        </w:rPr>
        <w:t xml:space="preserve">4.0 million to BMI through a series of capital contributions in exchange for </w:t>
      </w:r>
      <w:bookmarkStart w:id="568" w:name="xdx_908_ecustom--ExchangeOfAdditionalOrd"/>
      <w:bookmarkEnd w:id="568"/>
      <w:r>
        <w:rPr>
          <w:rFonts w:ascii="Times New Roman;Times;Serif" w:hAnsi="Times New Roman;Times;Serif"/>
          <w:b w:val="false"/>
          <w:i w:val="false"/>
          <w:caps w:val="false"/>
          <w:smallCaps w:val="false"/>
          <w:sz w:val="20"/>
        </w:rPr>
        <w:t>8,230 additional ordinary shares of BMI upon the achievement of certain milestones expected to occur at various points during 2025 and 2026. In June 2025, BMI achieved two of such milestones, and upon settlement, the Company paid BMI $</w:t>
      </w:r>
      <w:bookmarkStart w:id="569" w:name="xdx_900_ecustom--EquityInvestment_iI_pn5"/>
      <w:bookmarkEnd w:id="569"/>
      <w:r>
        <w:rPr>
          <w:rFonts w:ascii="Times New Roman;Times;Serif" w:hAnsi="Times New Roman;Times;Serif"/>
          <w:b w:val="false"/>
          <w:i w:val="false"/>
          <w:caps w:val="false"/>
          <w:smallCaps w:val="false"/>
          <w:sz w:val="20"/>
        </w:rPr>
        <w:t>2.4 million (€</w:t>
      </w:r>
      <w:bookmarkStart w:id="570" w:name="xdx_902_ecustom--EquityInvestment_iI_pn5"/>
      <w:bookmarkEnd w:id="570"/>
      <w:r>
        <w:rPr>
          <w:rFonts w:ascii="Times New Roman;Times;Serif" w:hAnsi="Times New Roman;Times;Serif"/>
          <w:b w:val="false"/>
          <w:i w:val="false"/>
          <w:caps w:val="false"/>
          <w:smallCaps w:val="false"/>
          <w:sz w:val="20"/>
        </w:rPr>
        <w:t xml:space="preserve">2.0 million) on July 1, 2025 in exchange for </w:t>
      </w:r>
      <w:bookmarkStart w:id="571" w:name="xdx_90B_ecustom--ExchangeOfAdditionalOrd"/>
      <w:bookmarkEnd w:id="571"/>
      <w:r>
        <w:rPr>
          <w:rFonts w:ascii="Times New Roman;Times;Serif" w:hAnsi="Times New Roman;Times;Serif"/>
          <w:b w:val="false"/>
          <w:i w:val="false"/>
          <w:caps w:val="false"/>
          <w:smallCaps w:val="false"/>
          <w:sz w:val="20"/>
        </w:rPr>
        <w:t xml:space="preserve">4,116 additional ordinary shares of BMI, bringing the Company’s total ownership of BMI’s outstanding equity to approximately </w:t>
      </w:r>
      <w:bookmarkStart w:id="572" w:name="xdx_90B_ecustom--OutstandingEquityPercen"/>
      <w:bookmarkEnd w:id="572"/>
      <w:r>
        <w:rPr>
          <w:rFonts w:ascii="Times New Roman;Times;Serif" w:hAnsi="Times New Roman;Times;Serif"/>
          <w:b w:val="false"/>
          <w:i w:val="false"/>
          <w:caps w:val="false"/>
          <w:smallCaps w:val="false"/>
          <w:sz w:val="20"/>
        </w:rPr>
        <w:t>9.678% as of July 1, 2025. In September 2025, BMI achieved the final three milestones, and upon settlement, the Company paid BMI $</w:t>
      </w:r>
      <w:bookmarkStart w:id="573" w:name="xdx_908_ecustom--EquityInvestment_iI_pn5"/>
      <w:bookmarkEnd w:id="573"/>
      <w:r>
        <w:rPr>
          <w:rFonts w:ascii="Times New Roman;Times;Serif" w:hAnsi="Times New Roman;Times;Serif"/>
          <w:b w:val="false"/>
          <w:i w:val="false"/>
          <w:caps w:val="false"/>
          <w:smallCaps w:val="false"/>
          <w:sz w:val="20"/>
        </w:rPr>
        <w:t>2.4 million (€</w:t>
      </w:r>
      <w:bookmarkStart w:id="574" w:name="xdx_90A_ecustom--EquityInvestment_iI_pn5"/>
      <w:bookmarkEnd w:id="574"/>
      <w:r>
        <w:rPr>
          <w:rFonts w:ascii="Times New Roman;Times;Serif" w:hAnsi="Times New Roman;Times;Serif"/>
          <w:b w:val="false"/>
          <w:i w:val="false"/>
          <w:caps w:val="false"/>
          <w:smallCaps w:val="false"/>
          <w:sz w:val="20"/>
        </w:rPr>
        <w:t xml:space="preserve">2.0 million) on October 2, 2025 in exchange for </w:t>
      </w:r>
      <w:bookmarkStart w:id="575" w:name="xdx_90F_ecustom--ExchangeOfAdditionalOrd"/>
      <w:bookmarkEnd w:id="575"/>
      <w:r>
        <w:rPr>
          <w:rFonts w:ascii="Times New Roman;Times;Serif" w:hAnsi="Times New Roman;Times;Serif"/>
          <w:b w:val="false"/>
          <w:i w:val="false"/>
          <w:caps w:val="false"/>
          <w:smallCaps w:val="false"/>
          <w:sz w:val="20"/>
        </w:rPr>
        <w:t xml:space="preserve">4,114 additional ordinary shares of BMI, bringing the Company’s total ownership of BMI’s outstanding equity to approximately </w:t>
      </w:r>
      <w:bookmarkStart w:id="576" w:name="xdx_90E_ecustom--OutstandingEquityPercen"/>
      <w:bookmarkEnd w:id="576"/>
      <w:r>
        <w:rPr>
          <w:rFonts w:ascii="Times New Roman;Times;Serif" w:hAnsi="Times New Roman;Times;Serif"/>
          <w:b w:val="false"/>
          <w:i w:val="false"/>
          <w:caps w:val="false"/>
          <w:smallCaps w:val="false"/>
          <w:sz w:val="20"/>
        </w:rPr>
        <w:t>12.499% for a total cash investment of $</w:t>
      </w:r>
      <w:bookmarkStart w:id="577" w:name="xdx_903_ecustom--EquityInvestment_iI_pn5"/>
      <w:bookmarkEnd w:id="577"/>
      <w:r>
        <w:rPr>
          <w:rFonts w:ascii="Times New Roman;Times;Serif" w:hAnsi="Times New Roman;Times;Serif"/>
          <w:b w:val="false"/>
          <w:i w:val="false"/>
          <w:caps w:val="false"/>
          <w:smallCaps w:val="false"/>
          <w:sz w:val="20"/>
        </w:rPr>
        <w:t>9.0 million (€</w:t>
      </w:r>
      <w:bookmarkStart w:id="578" w:name="xdx_906_ecustom--EquityInvestment_iI_pn5"/>
      <w:bookmarkEnd w:id="578"/>
      <w:r>
        <w:rPr>
          <w:rFonts w:ascii="Times New Roman;Times;Serif" w:hAnsi="Times New Roman;Times;Serif"/>
          <w:b w:val="false"/>
          <w:i w:val="false"/>
          <w:caps w:val="false"/>
          <w:smallCaps w:val="false"/>
          <w:sz w:val="20"/>
        </w:rPr>
        <w:t xml:space="preserve">8.0 million) as of October 2, 2025. Subsequent to such date, additional ordinary shares of BMI were sold to other outside investors, thereby decreasing the Company’s ownership of BMI to approximately </w:t>
      </w:r>
      <w:bookmarkStart w:id="579" w:name="xdx_90D_ecustom--OutstandingEquityPercen"/>
      <w:bookmarkEnd w:id="579"/>
      <w:r>
        <w:rPr>
          <w:rFonts w:ascii="Times New Roman;Times;Serif" w:hAnsi="Times New Roman;Times;Serif"/>
          <w:b w:val="false"/>
          <w:i w:val="false"/>
          <w:caps w:val="false"/>
          <w:smallCaps w:val="false"/>
          <w:sz w:val="20"/>
        </w:rPr>
        <w:t>11.945%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reviewed the characteristics of the Company’s investment in BMI in accordance with ASC Topic 323, Investments — Equity Method and Joint Ventures (“ASC 323”) and determined that the Company made a non-controlling investment in a limited liability company. According to the guidance provided in ASC 323-30-S99-1, investments in limited liability companies whereby an investor holds more than a 3% to 5% ownership interest would generally be accounted for under the equity method of accounting. Therefore, the Company utilized the equity method of accounting for this investment and recorded its initial investment at cost. The Company’s share of the earnings or losses of BMI is recorded 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Subscription Agreement, the Company entered into a license and distribution agreement with BMI (the “BMI License Agreement”) pursuant to which the Company acquired the exclusive U.S. marketing, sales and distribution rights to certain BMI products, for use in the treatment of an injury caused by a traumatic incident. Pursuant to the BMI License Agreement, the Company was appointed by BMI as the exclusive distributor to promote, market, offer to sell, transfer, distribute and sell certain BMI products for trauma indications inside the United States and its territories. See Note 9 for more information regarding the BMI License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ChemoMouthpiece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2024, the Company, through its wholly owned subsidiary, Sanara CMP LLC (“Sanara CMP”), entered into a Unit Purchase Agreement (the “Unit Purchase Agreement”) with ChemoMouthpiece, LLC (“CMp”), pursuant to which Sanara CMP purchased </w:t>
      </w:r>
      <w:bookmarkStart w:id="580" w:name="xdx_90A_eus-gaap--StockIssuedDuringPerio"/>
      <w:bookmarkEnd w:id="580"/>
      <w:r>
        <w:rPr>
          <w:rFonts w:ascii="Times New Roman;Times;Serif" w:hAnsi="Times New Roman;Times;Serif"/>
          <w:b w:val="false"/>
          <w:i w:val="false"/>
          <w:caps w:val="false"/>
          <w:smallCaps w:val="false"/>
          <w:sz w:val="20"/>
        </w:rPr>
        <w:t>100,674.72 common units in CMp for an aggregate purchase price of $</w:t>
      </w:r>
      <w:bookmarkStart w:id="581" w:name="xdx_90F_eus-gaap--StockIssuedDuringPerio"/>
      <w:bookmarkEnd w:id="581"/>
      <w:r>
        <w:rPr>
          <w:rFonts w:ascii="Times New Roman;Times;Serif" w:hAnsi="Times New Roman;Times;Serif"/>
          <w:b w:val="false"/>
          <w:i w:val="false"/>
          <w:caps w:val="false"/>
          <w:smallCaps w:val="false"/>
          <w:sz w:val="20"/>
        </w:rPr>
        <w:t>5.0 million, or $</w:t>
      </w:r>
      <w:bookmarkStart w:id="582" w:name="xdx_905_eus-gaap--SharesIssuedPricePerSh"/>
      <w:bookmarkEnd w:id="582"/>
      <w:r>
        <w:rPr>
          <w:rFonts w:ascii="Times New Roman;Times;Serif" w:hAnsi="Times New Roman;Times;Serif"/>
          <w:b w:val="false"/>
          <w:i w:val="false"/>
          <w:caps w:val="false"/>
          <w:smallCaps w:val="false"/>
          <w:sz w:val="20"/>
        </w:rPr>
        <w:t xml:space="preserve">49.6649 per unit, which represented approximately </w:t>
      </w:r>
      <w:bookmarkStart w:id="583" w:name="xdx_908_eus-gaap--EquityMethodInvestment"/>
      <w:bookmarkEnd w:id="583"/>
      <w:r>
        <w:rPr>
          <w:rFonts w:ascii="Times New Roman;Times;Serif" w:hAnsi="Times New Roman;Times;Serif"/>
          <w:b w:val="false"/>
          <w:i w:val="false"/>
          <w:caps w:val="false"/>
          <w:smallCaps w:val="false"/>
          <w:sz w:val="20"/>
        </w:rPr>
        <w:t xml:space="preserve">6.64% of the issued and outstanding membership interest of CMp immediately following such purchase. Subsequent to the Company’s initial investment in CMp, units of CMp were sold to other investors, thereby decreasing the Company’s ownership of CMp to approximately </w:t>
      </w:r>
      <w:bookmarkStart w:id="584" w:name="xdx_90C_eus-gaap--EquityMethodInvestment"/>
      <w:bookmarkEnd w:id="584"/>
      <w:r>
        <w:rPr>
          <w:rFonts w:ascii="Times New Roman;Times;Serif" w:hAnsi="Times New Roman;Times;Serif"/>
          <w:b w:val="false"/>
          <w:i w:val="false"/>
          <w:caps w:val="false"/>
          <w:smallCaps w:val="false"/>
          <w:sz w:val="20"/>
        </w:rPr>
        <w:t>6.59% as of June 30, 2026. CMp is a privately held medical device company that develops and commercializes proprietary oral cryotherapy products for cancer patients, including, among other things, CMp’s Chemo Mouthpiece oral cryotherapy device, which is a 510(k) cleared cryotherapy device designed to reduce the incidence and severity of chemotherapy induced oral mucositis. In 2025, CMp applied for a Medicare reimbursement code for its Chemo Mouthpiece oral cryotherapy device, and the application was not approved. CMp has the option to re-apply for the reimbursement code in the future, which it plans to do in the next review cycle. The Company is evaluating the impact of not receiving approval for Medicare reimbursement and will continue to review this investment quarterly for indicators of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reviewed the characteristics of Sanara CMP’s investment in CMp in accordance with ASC 323 and determined that Sanara CMP made a non-controlling investment in a limited liability company. In accordance with ASC 323-30-S99-1, the Company utilized the equity method of accounting for this investment and recorded its initial investment at cost plus transaction costs. Sanara CMP’s share of the earnings or losses of CMp is recorded 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established a 50/50 strategic alliance, SI Healthcare Technologies, LLC (“SI Technologies”) (formerly known as SI Wound Care, LLC), with InfuSystem Holdings, Inc. (“InfuSystem”). In connection with the Unit Purchase Agreement with CMp, the Company, CMp, certain subsidiaries of CMp, InfuSystem and SI Technologies, entered into an Exclusive Distribution Agreement (the “Distribution Agreement”) pursuant to which SI Technologies was appointed as the sole and exclusive U.S. distributor of CMp’s Standard Chemo Regiment Kits. The parties to the Distribution Agreement also entered into an Intellectual Property Rights Agreement, pursuant to which SI Technologies was granted the exclusive right to use CMp’s intellectual property rights to permit resale and use of the CMp product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CMp’s failure in 2025 to obtain a Medicare reimbursement code, the Company and InfuSystem delivered written notice of termination of the Distribution Agreement to CMp, which agreement was terminated in July 2026, pursuant to its terms. Termination of the Distribution Agreement also terminated the Intellectual Property Rights Agreement. Also in July 2026, the Company delivered written notice to InfuSystem exercising its right to dissolve SI Technologies effective 180 days following receipt of the notice, pursuant to the terms of the entity’s limited liability company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reviewed the characteristics of the Company’s investment in SI Technologies in accordance with ASC 323 and determined that the Company made a non-controlling investment in a limited liability company. In accordance with ASC 323-30-S99-1, the Company utilized the equity method of accounting for this investment and recorded its initial investment at cost. The Company’s share of the earnings or losses of SI Technologies is recorded 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DirectDerm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2020, the Company made a $</w:t>
      </w:r>
      <w:bookmarkStart w:id="585" w:name="xdx_905_eus-gaap--LongTermInvestments_iI"/>
      <w:bookmarkEnd w:id="585"/>
      <w:r>
        <w:rPr>
          <w:rFonts w:ascii="Times New Roman;Times;Serif" w:hAnsi="Times New Roman;Times;Serif"/>
          <w:b w:val="false"/>
          <w:i w:val="false"/>
          <w:caps w:val="false"/>
          <w:smallCaps w:val="false"/>
          <w:sz w:val="20"/>
        </w:rPr>
        <w:t xml:space="preserve">500,000 long-term investment to purchase certain nonmarketable securities consisting of </w:t>
      </w:r>
      <w:bookmarkStart w:id="586" w:name="xdx_909_eus-gaap--StockIssuedDuringPerio"/>
      <w:bookmarkEnd w:id="586"/>
      <w:r>
        <w:rPr>
          <w:rFonts w:ascii="Times New Roman;Times;Serif" w:hAnsi="Times New Roman;Times;Serif"/>
          <w:b w:val="false"/>
          <w:i w:val="false"/>
          <w:caps w:val="false"/>
          <w:smallCaps w:val="false"/>
          <w:sz w:val="20"/>
        </w:rPr>
        <w:t xml:space="preserve">7,142,857 Series B-2 Preferred Shares of DirectDerm, representing approximately </w:t>
      </w:r>
      <w:bookmarkStart w:id="587" w:name="xdx_90A_eus-gaap--EquityMethodInvestment"/>
      <w:bookmarkEnd w:id="587"/>
      <w:r>
        <w:rPr>
          <w:rFonts w:ascii="Times New Roman;Times;Serif" w:hAnsi="Times New Roman;Times;Serif"/>
          <w:b w:val="false"/>
          <w:i w:val="false"/>
          <w:caps w:val="false"/>
          <w:smallCaps w:val="false"/>
          <w:sz w:val="20"/>
        </w:rPr>
        <w:t xml:space="preserve">2.9% ownership of DirectDerm at that time. Through this investment, the Company received exclusive rights to utilize DirectDerm’s technology in all acute and post-acute care settings such as skilled nursing facilities, home health and wound clinics. In 2021, the Company purchased an additional </w:t>
      </w:r>
      <w:bookmarkStart w:id="588" w:name="xdx_90E_eus-gaap--StockIssuedDuringPerio"/>
      <w:bookmarkEnd w:id="588"/>
      <w:r>
        <w:rPr>
          <w:rFonts w:ascii="Times New Roman;Times;Serif" w:hAnsi="Times New Roman;Times;Serif"/>
          <w:b w:val="false"/>
          <w:i w:val="false"/>
          <w:caps w:val="false"/>
          <w:smallCaps w:val="false"/>
          <w:sz w:val="20"/>
        </w:rPr>
        <w:t>3,571,430 shares of DirectDerm’s Series B-2 Preferred for $</w:t>
      </w:r>
      <w:bookmarkStart w:id="589" w:name="xdx_902_eus-gaap--StockIssuedDuringPerio"/>
      <w:bookmarkEnd w:id="589"/>
      <w:r>
        <w:rPr>
          <w:rFonts w:ascii="Times New Roman;Times;Serif" w:hAnsi="Times New Roman;Times;Serif"/>
          <w:b w:val="false"/>
          <w:i w:val="false"/>
          <w:caps w:val="false"/>
          <w:smallCaps w:val="false"/>
          <w:sz w:val="20"/>
        </w:rPr>
        <w:t xml:space="preserve">250,000. In March 2022, the Company purchased an additional </w:t>
      </w:r>
      <w:bookmarkStart w:id="590" w:name="xdx_90A_eus-gaap--StockIssuedDuringPerio"/>
      <w:bookmarkEnd w:id="590"/>
      <w:r>
        <w:rPr>
          <w:rFonts w:ascii="Times New Roman;Times;Serif" w:hAnsi="Times New Roman;Times;Serif"/>
          <w:b w:val="false"/>
          <w:i w:val="false"/>
          <w:caps w:val="false"/>
          <w:smallCaps w:val="false"/>
          <w:sz w:val="20"/>
        </w:rPr>
        <w:t>3,571,429 shares of DirectDerm’s Series B-2 Preferred for $</w:t>
      </w:r>
      <w:bookmarkStart w:id="591" w:name="xdx_90E_eus-gaap--StockIssuedDuringPerio"/>
      <w:bookmarkEnd w:id="591"/>
      <w:r>
        <w:rPr>
          <w:rFonts w:ascii="Times New Roman;Times;Serif" w:hAnsi="Times New Roman;Times;Serif"/>
          <w:b w:val="false"/>
          <w:i w:val="false"/>
          <w:caps w:val="false"/>
          <w:smallCaps w:val="false"/>
          <w:sz w:val="20"/>
        </w:rPr>
        <w:t xml:space="preserve">250,000. The Company’s ownership of DirectDerm was approximately </w:t>
      </w:r>
      <w:bookmarkStart w:id="592" w:name="xdx_90C_eus-gaap--EquityMethodInvestment"/>
      <w:bookmarkEnd w:id="592"/>
      <w:r>
        <w:rPr>
          <w:rFonts w:ascii="Times New Roman;Times;Serif" w:hAnsi="Times New Roman;Times;Serif"/>
          <w:b w:val="false"/>
          <w:i w:val="false"/>
          <w:caps w:val="false"/>
          <w:smallCaps w:val="false"/>
          <w:sz w:val="20"/>
        </w:rPr>
        <w:t>8.1% as of June 30, 2026. The Company does not have the ability to exercise significant influence over DirectDerm’s operating and financial activities. In accordance with ASC Topic 321, Investments — Equity Securities, this investment was reported at cost as of June 30, 2026. Shares of DirectDerm were previously held by THP. In connection with the discontinuation of THP’s operations and the Company’s strategic shift to focus exclusively on products for use in the surgical market, management concluded that ownership of DirectDerm continues to be an asset with ongoing value for the Company. The shares of DirectDerm were excluded from the discontinued THP assets.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3" w:name="xdx_89C_eus-gaap--EquityMethodInvestment"/>
      <w:bookmarkEnd w:id="593"/>
      <w:r>
        <w:rPr>
          <w:rFonts w:ascii="Times New Roman;Times;Serif" w:hAnsi="Times New Roman;Times;Serif"/>
          <w:b w:val="false"/>
          <w:i w:val="false"/>
          <w:caps w:val="false"/>
          <w:smallCaps w:val="false"/>
          <w:sz w:val="20"/>
        </w:rPr>
        <w:t>The following table summarizes the Company’s investments for the periods presented:</w:t>
      </w:r>
    </w:p>
    <w:p>
      <w:pPr>
        <w:pStyle w:val="TextBody"/>
        <w:bidi w:val="0"/>
        <w:spacing w:before="0" w:after="0"/>
        <w:ind w:left="0" w:right="0" w:hanging="0"/>
        <w:jc w:val="both"/>
        <w:rPr>
          <w:caps w:val="false"/>
          <w:smallCaps w:val="false"/>
        </w:rPr>
      </w:pPr>
      <w:r>
        <w:rPr>
          <w:caps w:val="false"/>
          <w:smallCaps w:val="false"/>
        </w:rPr>
        <w:t> </w:t>
      </w:r>
      <w:bookmarkStart w:id="594" w:name="xdx_8B5_zv210CQec3pa"/>
      <w:bookmarkEnd w:id="594"/>
      <w:r>
        <w:rPr>
          <w:rFonts w:ascii="Times New Roman;Times;Serif" w:hAnsi="Times New Roman;Times;Serif"/>
          <w:b w:val="false"/>
          <w:i w:val="false"/>
          <w:caps w:val="false"/>
          <w:smallCaps w:val="false"/>
          <w:sz w:val="20"/>
        </w:rPr>
        <w:t>SCHEDULE OF INVESTMENTS</w:t>
      </w:r>
    </w:p>
    <w:tbl>
      <w:tblPr>
        <w:tblW w:w="10205" w:type="dxa"/>
        <w:jc w:val="left"/>
        <w:tblInd w:w="0" w:type="dxa"/>
        <w:tblLayout w:type="fixed"/>
        <w:tblCellMar>
          <w:top w:w="0" w:type="dxa"/>
          <w:left w:w="0" w:type="dxa"/>
          <w:bottom w:w="0" w:type="dxa"/>
          <w:right w:w="0" w:type="dxa"/>
        </w:tblCellMar>
      </w:tblPr>
      <w:tblGrid>
        <w:gridCol w:w="3079"/>
        <w:gridCol w:w="60"/>
        <w:gridCol w:w="140"/>
        <w:gridCol w:w="1481"/>
        <w:gridCol w:w="60"/>
        <w:gridCol w:w="60"/>
        <w:gridCol w:w="60"/>
        <w:gridCol w:w="1479"/>
        <w:gridCol w:w="215"/>
        <w:gridCol w:w="60"/>
        <w:gridCol w:w="140"/>
        <w:gridCol w:w="1481"/>
        <w:gridCol w:w="60"/>
        <w:gridCol w:w="60"/>
        <w:gridCol w:w="60"/>
        <w:gridCol w:w="1479"/>
        <w:gridCol w:w="231"/>
      </w:tblGrid>
      <w:tr>
        <w:trPr/>
        <w:tc>
          <w:tcPr>
            <w:tcW w:w="30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31" w:type="dxa"/>
            <w:tcBorders/>
            <w:vAlign w:val="center"/>
          </w:tcPr>
          <w:p>
            <w:pPr>
              <w:pStyle w:val="TableContents"/>
              <w:bidi w:val="0"/>
              <w:spacing w:before="0" w:after="283"/>
              <w:jc w:val="center"/>
              <w:rPr/>
            </w:pPr>
            <w:r>
              <w:rPr/>
              <w:t> </w:t>
            </w:r>
          </w:p>
        </w:tc>
      </w:tr>
      <w:tr>
        <w:trPr/>
        <w:tc>
          <w:tcPr>
            <w:tcW w:w="307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8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Carrying 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Economic Interest</w:t>
            </w:r>
          </w:p>
        </w:tc>
        <w:tc>
          <w:tcPr>
            <w:tcW w:w="2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8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Carrying 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Economic Interest</w:t>
            </w:r>
          </w:p>
        </w:tc>
        <w:tc>
          <w:tcPr>
            <w:tcW w:w="231" w:type="dxa"/>
            <w:tcBorders/>
            <w:shd w:fill="FFFFFF" w:val="clear"/>
            <w:vAlign w:val="center"/>
          </w:tcPr>
          <w:p>
            <w:pPr>
              <w:pStyle w:val="TableContents"/>
              <w:bidi w:val="0"/>
              <w:spacing w:before="0" w:after="283"/>
              <w:jc w:val="center"/>
              <w:rPr/>
            </w:pPr>
            <w:r>
              <w:rPr/>
              <w:t> </w:t>
            </w:r>
          </w:p>
        </w:tc>
      </w:tr>
      <w:tr>
        <w:trPr/>
        <w:tc>
          <w:tcPr>
            <w:tcW w:w="3079" w:type="dxa"/>
            <w:tcBorders>
              <w:bottom w:val="single" w:sz="8" w:space="0" w:color="000000"/>
            </w:tcBorders>
            <w:shd w:fill="CCEEFF" w:val="clear"/>
            <w:tcMar>
              <w:bottom w:w="28" w:type="dxa"/>
            </w:tcMar>
            <w:vAlign w:val="center"/>
          </w:tcPr>
          <w:p>
            <w:pPr>
              <w:pStyle w:val="TableContents"/>
              <w:bidi w:val="0"/>
              <w:spacing w:before="0" w:after="283"/>
              <w:jc w:val="both"/>
              <w:rPr>
                <w:b/>
              </w:rPr>
            </w:pPr>
            <w:r>
              <w:rPr>
                <w:b/>
              </w:rPr>
              <w:t>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both"/>
              <w:rPr/>
            </w:pPr>
            <w:r>
              <w:rPr/>
              <w:t>Biomimetic Innovations Limited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95" w:name="xdx_981_eus-gaap--EquityMethodInvestment"/>
            <w:bookmarkEnd w:id="595"/>
          </w:p>
        </w:tc>
        <w:tc>
          <w:tcPr>
            <w:tcW w:w="1481" w:type="dxa"/>
            <w:tcBorders/>
            <w:shd w:fill="FFFFFF" w:val="clear"/>
            <w:vAlign w:val="center"/>
          </w:tcPr>
          <w:p>
            <w:pPr>
              <w:pStyle w:val="TableContents"/>
              <w:bidi w:val="0"/>
              <w:spacing w:before="0" w:after="283"/>
              <w:jc w:val="right"/>
              <w:rPr/>
            </w:pPr>
            <w:r>
              <w:rPr/>
              <w:t>8,004,716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6" w:name="xdx_984_ecustom--EquityMethodInvestments"/>
            <w:bookmarkEnd w:id="596"/>
          </w:p>
        </w:tc>
        <w:tc>
          <w:tcPr>
            <w:tcW w:w="1479" w:type="dxa"/>
            <w:tcBorders/>
            <w:shd w:fill="FFFFFF" w:val="clear"/>
            <w:vAlign w:val="center"/>
          </w:tcPr>
          <w:p>
            <w:pPr>
              <w:pStyle w:val="TableContents"/>
              <w:bidi w:val="0"/>
              <w:spacing w:before="0" w:after="283"/>
              <w:jc w:val="right"/>
              <w:rPr/>
            </w:pPr>
            <w:r>
              <w:rPr/>
              <w:t>11.95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97" w:name="xdx_98F_eus-gaap--EquityMethodInvestment"/>
            <w:bookmarkEnd w:id="597"/>
          </w:p>
        </w:tc>
        <w:tc>
          <w:tcPr>
            <w:tcW w:w="1481" w:type="dxa"/>
            <w:tcBorders/>
            <w:shd w:fill="FFFFFF" w:val="clear"/>
            <w:vAlign w:val="center"/>
          </w:tcPr>
          <w:p>
            <w:pPr>
              <w:pStyle w:val="TableContents"/>
              <w:bidi w:val="0"/>
              <w:spacing w:before="0" w:after="283"/>
              <w:jc w:val="right"/>
              <w:rPr/>
            </w:pPr>
            <w:r>
              <w:rPr/>
              <w:t>8,741,389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8" w:name="xdx_98A_ecustom--EquityMethodInvestments"/>
            <w:bookmarkEnd w:id="598"/>
          </w:p>
        </w:tc>
        <w:tc>
          <w:tcPr>
            <w:tcW w:w="1479" w:type="dxa"/>
            <w:tcBorders/>
            <w:shd w:fill="FFFFFF" w:val="clear"/>
            <w:vAlign w:val="center"/>
          </w:tcPr>
          <w:p>
            <w:pPr>
              <w:pStyle w:val="TableContents"/>
              <w:bidi w:val="0"/>
              <w:spacing w:before="0" w:after="283"/>
              <w:jc w:val="right"/>
              <w:rPr/>
            </w:pPr>
            <w:r>
              <w:rPr/>
              <w:t>12.50</w:t>
            </w:r>
          </w:p>
        </w:tc>
        <w:tc>
          <w:tcPr>
            <w:tcW w:w="231" w:type="dxa"/>
            <w:tcBorders/>
            <w:shd w:fill="FFFFFF" w:val="clear"/>
            <w:vAlign w:val="center"/>
          </w:tcPr>
          <w:p>
            <w:pPr>
              <w:pStyle w:val="TableContents"/>
              <w:bidi w:val="0"/>
              <w:spacing w:before="0" w:after="283"/>
              <w:jc w:val="left"/>
              <w:rPr/>
            </w:pPr>
            <w:r>
              <w:rPr/>
              <w:t>%</w:t>
            </w:r>
          </w:p>
        </w:tc>
      </w:tr>
      <w:tr>
        <w:trPr/>
        <w:tc>
          <w:tcPr>
            <w:tcW w:w="3079" w:type="dxa"/>
            <w:tcBorders/>
            <w:shd w:fill="CCEEFF" w:val="clear"/>
            <w:vAlign w:val="center"/>
          </w:tcPr>
          <w:p>
            <w:pPr>
              <w:pStyle w:val="TableContents"/>
              <w:bidi w:val="0"/>
              <w:spacing w:before="0" w:after="283"/>
              <w:jc w:val="both"/>
              <w:rPr/>
            </w:pPr>
            <w:r>
              <w:rPr/>
              <w:t>ChemoMouthpiece, LLC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99" w:name="xdx_98C_eus-gaap--EquityMethodInvestment"/>
            <w:bookmarkEnd w:id="599"/>
          </w:p>
        </w:tc>
        <w:tc>
          <w:tcPr>
            <w:tcW w:w="1481" w:type="dxa"/>
            <w:tcBorders/>
            <w:shd w:fill="CCEEFF" w:val="clear"/>
            <w:vAlign w:val="center"/>
          </w:tcPr>
          <w:p>
            <w:pPr>
              <w:pStyle w:val="TableContents"/>
              <w:bidi w:val="0"/>
              <w:spacing w:before="0" w:after="283"/>
              <w:jc w:val="right"/>
              <w:rPr/>
            </w:pPr>
            <w:r>
              <w:rPr/>
              <w:t>4,688,613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0" w:name="xdx_98D_ecustom--EquityMethodInvestments"/>
            <w:bookmarkEnd w:id="600"/>
          </w:p>
        </w:tc>
        <w:tc>
          <w:tcPr>
            <w:tcW w:w="1479" w:type="dxa"/>
            <w:tcBorders/>
            <w:shd w:fill="CCEEFF" w:val="clear"/>
            <w:vAlign w:val="center"/>
          </w:tcPr>
          <w:p>
            <w:pPr>
              <w:pStyle w:val="TableContents"/>
              <w:bidi w:val="0"/>
              <w:spacing w:before="0" w:after="283"/>
              <w:jc w:val="right"/>
              <w:rPr/>
            </w:pPr>
            <w:r>
              <w:rPr/>
              <w:t>6.59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01" w:name="xdx_98A_eus-gaap--EquityMethodInvestment"/>
            <w:bookmarkEnd w:id="601"/>
          </w:p>
        </w:tc>
        <w:tc>
          <w:tcPr>
            <w:tcW w:w="1481" w:type="dxa"/>
            <w:tcBorders/>
            <w:shd w:fill="CCEEFF" w:val="clear"/>
            <w:vAlign w:val="center"/>
          </w:tcPr>
          <w:p>
            <w:pPr>
              <w:pStyle w:val="TableContents"/>
              <w:bidi w:val="0"/>
              <w:spacing w:before="0" w:after="283"/>
              <w:jc w:val="right"/>
              <w:rPr/>
            </w:pPr>
            <w:r>
              <w:rPr/>
              <w:t>4,841,695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2" w:name="xdx_98C_ecustom--EquityMethodInvestments"/>
            <w:bookmarkEnd w:id="602"/>
          </w:p>
        </w:tc>
        <w:tc>
          <w:tcPr>
            <w:tcW w:w="1479" w:type="dxa"/>
            <w:tcBorders/>
            <w:shd w:fill="CCEEFF" w:val="clear"/>
            <w:vAlign w:val="center"/>
          </w:tcPr>
          <w:p>
            <w:pPr>
              <w:pStyle w:val="TableContents"/>
              <w:bidi w:val="0"/>
              <w:spacing w:before="0" w:after="283"/>
              <w:jc w:val="right"/>
              <w:rPr/>
            </w:pPr>
            <w:r>
              <w:rPr/>
              <w:t>6.59</w:t>
            </w:r>
          </w:p>
        </w:tc>
        <w:tc>
          <w:tcPr>
            <w:tcW w:w="231" w:type="dxa"/>
            <w:tcBorders/>
            <w:shd w:fill="CCEEFF" w:val="clear"/>
            <w:vAlign w:val="center"/>
          </w:tcPr>
          <w:p>
            <w:pPr>
              <w:pStyle w:val="TableContents"/>
              <w:bidi w:val="0"/>
              <w:spacing w:before="0" w:after="283"/>
              <w:jc w:val="left"/>
              <w:rPr/>
            </w:pPr>
            <w:r>
              <w:rPr/>
              <w:t>%</w:t>
            </w:r>
          </w:p>
        </w:tc>
      </w:tr>
      <w:tr>
        <w:trPr/>
        <w:tc>
          <w:tcPr>
            <w:tcW w:w="3079" w:type="dxa"/>
            <w:tcBorders/>
            <w:shd w:fill="FFFFFF" w:val="clear"/>
            <w:vAlign w:val="center"/>
          </w:tcPr>
          <w:p>
            <w:pPr>
              <w:pStyle w:val="TableContents"/>
              <w:bidi w:val="0"/>
              <w:spacing w:before="0" w:after="283"/>
              <w:jc w:val="both"/>
              <w:rPr/>
            </w:pPr>
            <w:r>
              <w:rPr/>
              <w:t>SI Healthcare Technologies, LLC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3" w:name="xdx_985_eus-gaap--EquityMethodInvestment"/>
            <w:bookmarkEnd w:id="603"/>
          </w:p>
        </w:tc>
        <w:tc>
          <w:tcPr>
            <w:tcW w:w="1481" w:type="dxa"/>
            <w:tcBorders>
              <w:bottom w:val="single" w:sz="8" w:space="0" w:color="000000"/>
            </w:tcBorders>
            <w:shd w:fill="FFFFFF" w:val="clear"/>
            <w:tcMar>
              <w:bottom w:w="28" w:type="dxa"/>
            </w:tcMar>
            <w:vAlign w:val="center"/>
          </w:tcPr>
          <w:p>
            <w:pPr>
              <w:pStyle w:val="TableContents"/>
              <w:bidi w:val="0"/>
              <w:spacing w:before="0" w:after="283"/>
              <w:jc w:val="right"/>
              <w:rPr/>
            </w:pPr>
            <w:r>
              <w:rPr/>
              <w:t>37,374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04" w:name="xdx_983_ecustom--EquityMethodInvestments"/>
            <w:bookmarkEnd w:id="604"/>
          </w:p>
        </w:tc>
        <w:tc>
          <w:tcPr>
            <w:tcW w:w="1479" w:type="dxa"/>
            <w:tcBorders/>
            <w:shd w:fill="FFFFFF" w:val="clear"/>
            <w:vAlign w:val="center"/>
          </w:tcPr>
          <w:p>
            <w:pPr>
              <w:pStyle w:val="TableContents"/>
              <w:bidi w:val="0"/>
              <w:spacing w:before="0" w:after="283"/>
              <w:jc w:val="right"/>
              <w:rPr/>
            </w:pPr>
            <w:r>
              <w:rPr/>
              <w:t>50.00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5" w:name="xdx_98A_eus-gaap--EquityMethodInvestment"/>
            <w:bookmarkEnd w:id="605"/>
          </w:p>
        </w:tc>
        <w:tc>
          <w:tcPr>
            <w:tcW w:w="1481" w:type="dxa"/>
            <w:tcBorders>
              <w:bottom w:val="single" w:sz="8" w:space="0" w:color="000000"/>
            </w:tcBorders>
            <w:shd w:fill="FFFFFF" w:val="clear"/>
            <w:tcMar>
              <w:bottom w:w="28" w:type="dxa"/>
            </w:tcMar>
            <w:vAlign w:val="center"/>
          </w:tcPr>
          <w:p>
            <w:pPr>
              <w:pStyle w:val="TableContents"/>
              <w:bidi w:val="0"/>
              <w:spacing w:before="0" w:after="283"/>
              <w:jc w:val="right"/>
              <w:rPr/>
            </w:pPr>
            <w:r>
              <w:rPr/>
              <w:t>43,774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06" w:name="xdx_984_ecustom--EquityMethodInvestments"/>
            <w:bookmarkEnd w:id="606"/>
          </w:p>
        </w:tc>
        <w:tc>
          <w:tcPr>
            <w:tcW w:w="1479" w:type="dxa"/>
            <w:tcBorders/>
            <w:shd w:fill="FFFFFF" w:val="clear"/>
            <w:vAlign w:val="center"/>
          </w:tcPr>
          <w:p>
            <w:pPr>
              <w:pStyle w:val="TableContents"/>
              <w:bidi w:val="0"/>
              <w:spacing w:before="0" w:after="283"/>
              <w:jc w:val="right"/>
              <w:rPr/>
            </w:pPr>
            <w:r>
              <w:rPr/>
              <w:t>50.00</w:t>
            </w:r>
          </w:p>
        </w:tc>
        <w:tc>
          <w:tcPr>
            <w:tcW w:w="231" w:type="dxa"/>
            <w:tcBorders/>
            <w:shd w:fill="FFFFFF" w:val="clear"/>
            <w:vAlign w:val="center"/>
          </w:tcPr>
          <w:p>
            <w:pPr>
              <w:pStyle w:val="TableContents"/>
              <w:bidi w:val="0"/>
              <w:spacing w:before="0" w:after="283"/>
              <w:jc w:val="left"/>
              <w:rPr/>
            </w:pPr>
            <w:r>
              <w:rPr/>
              <w:t>%</w:t>
            </w:r>
          </w:p>
        </w:tc>
      </w:tr>
      <w:tr>
        <w:trPr/>
        <w:tc>
          <w:tcPr>
            <w:tcW w:w="3079" w:type="dxa"/>
            <w:tcBorders/>
            <w:shd w:fill="CCEEFF" w:val="clear"/>
            <w:vAlign w:val="center"/>
          </w:tcPr>
          <w:p>
            <w:pPr>
              <w:pStyle w:val="TableContents"/>
              <w:bidi w:val="0"/>
              <w:spacing w:before="0" w:after="283"/>
              <w:jc w:val="both"/>
              <w:rPr/>
            </w:pPr>
            <w:r>
              <w:rPr/>
              <w:t>Total 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07" w:name="xdx_98F_eus-gaap--EquityMethodInvestment"/>
            <w:bookmarkEnd w:id="607"/>
          </w:p>
        </w:tc>
        <w:tc>
          <w:tcPr>
            <w:tcW w:w="1481" w:type="dxa"/>
            <w:tcBorders>
              <w:bottom w:val="single" w:sz="8" w:space="0" w:color="000000"/>
            </w:tcBorders>
            <w:shd w:fill="CCEEFF" w:val="clear"/>
            <w:tcMar>
              <w:bottom w:w="28" w:type="dxa"/>
            </w:tcMar>
            <w:vAlign w:val="center"/>
          </w:tcPr>
          <w:p>
            <w:pPr>
              <w:pStyle w:val="TableContents"/>
              <w:bidi w:val="0"/>
              <w:spacing w:before="0" w:after="283"/>
              <w:jc w:val="right"/>
              <w:rPr/>
            </w:pPr>
            <w:r>
              <w:rPr/>
              <w:t>12,730,703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08" w:name="xdx_98B_eus-gaap--EquityMethodInvestment"/>
            <w:bookmarkEnd w:id="608"/>
          </w:p>
        </w:tc>
        <w:tc>
          <w:tcPr>
            <w:tcW w:w="1481" w:type="dxa"/>
            <w:tcBorders>
              <w:bottom w:val="single" w:sz="8" w:space="0" w:color="000000"/>
            </w:tcBorders>
            <w:shd w:fill="CCEEFF" w:val="clear"/>
            <w:tcMar>
              <w:bottom w:w="28" w:type="dxa"/>
            </w:tcMar>
            <w:vAlign w:val="center"/>
          </w:tcPr>
          <w:p>
            <w:pPr>
              <w:pStyle w:val="TableContents"/>
              <w:bidi w:val="0"/>
              <w:spacing w:before="0" w:after="283"/>
              <w:jc w:val="right"/>
              <w:rPr/>
            </w:pPr>
            <w:r>
              <w:rPr/>
              <w:t>13,626,858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3079" w:type="dxa"/>
            <w:tcBorders>
              <w:bottom w:val="single" w:sz="8" w:space="0" w:color="000000"/>
            </w:tcBorders>
            <w:shd w:fill="CCEEFF" w:val="clear"/>
            <w:tcMar>
              <w:bottom w:w="28" w:type="dxa"/>
            </w:tcMar>
            <w:vAlign w:val="center"/>
          </w:tcPr>
          <w:p>
            <w:pPr>
              <w:pStyle w:val="TableContents"/>
              <w:bidi w:val="0"/>
              <w:spacing w:before="0" w:after="283"/>
              <w:jc w:val="both"/>
              <w:rPr>
                <w:b/>
              </w:rPr>
            </w:pPr>
            <w:r>
              <w:rPr>
                <w:b/>
              </w:rPr>
              <w:t>Cost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both"/>
              <w:rPr/>
            </w:pPr>
            <w:r>
              <w:rPr/>
              <w:t>Direct Dermatology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09" w:name="xdx_989_eus-gaap--OtherInvestmentsAndSec"/>
            <w:bookmarkEnd w:id="609"/>
          </w:p>
        </w:tc>
        <w:tc>
          <w:tcPr>
            <w:tcW w:w="1481" w:type="dxa"/>
            <w:tcBorders>
              <w:bottom w:val="single" w:sz="8" w:space="0" w:color="000000"/>
            </w:tcBorders>
            <w:shd w:fill="FFFFFF" w:val="clear"/>
            <w:tcMar>
              <w:bottom w:w="28" w:type="dxa"/>
            </w:tcM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10" w:name="xdx_980_eus-gaap--OtherInvestmentsAndSec"/>
            <w:bookmarkEnd w:id="610"/>
          </w:p>
        </w:tc>
        <w:tc>
          <w:tcPr>
            <w:tcW w:w="1481" w:type="dxa"/>
            <w:tcBorders>
              <w:bottom w:val="single" w:sz="8" w:space="0" w:color="000000"/>
            </w:tcBorders>
            <w:shd w:fill="FFFFFF" w:val="clear"/>
            <w:tcMar>
              <w:bottom w:w="28" w:type="dxa"/>
            </w:tcM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3079" w:type="dxa"/>
            <w:tcBorders/>
            <w:shd w:fill="CCEEFF" w:val="clear"/>
            <w:vAlign w:val="center"/>
          </w:tcPr>
          <w:p>
            <w:pPr>
              <w:pStyle w:val="TableContents"/>
              <w:bidi w:val="0"/>
              <w:spacing w:before="0" w:after="283"/>
              <w:jc w:val="both"/>
              <w:rPr/>
            </w:pPr>
            <w:r>
              <w:rPr/>
              <w:t>Total Cost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11" w:name="xdx_984_eus-gaap--OtherInvestmentsAndSec"/>
            <w:bookmarkEnd w:id="611"/>
          </w:p>
        </w:tc>
        <w:tc>
          <w:tcPr>
            <w:tcW w:w="1481" w:type="dxa"/>
            <w:tcBorders>
              <w:bottom w:val="single" w:sz="8" w:space="0" w:color="000000"/>
            </w:tcBorders>
            <w:shd w:fill="CCEEFF" w:val="clear"/>
            <w:tcMar>
              <w:bottom w:w="28" w:type="dxa"/>
            </w:tcM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12" w:name="xdx_98C_eus-gaap--OtherInvestmentsAndSec"/>
            <w:bookmarkEnd w:id="612"/>
          </w:p>
        </w:tc>
        <w:tc>
          <w:tcPr>
            <w:tcW w:w="1481" w:type="dxa"/>
            <w:tcBorders>
              <w:bottom w:val="single" w:sz="8" w:space="0" w:color="000000"/>
            </w:tcBorders>
            <w:shd w:fill="CCEEFF" w:val="clear"/>
            <w:tcMar>
              <w:bottom w:w="28" w:type="dxa"/>
            </w:tcM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3079" w:type="dxa"/>
            <w:tcBorders/>
            <w:shd w:fill="CCEEFF" w:val="clear"/>
            <w:vAlign w:val="center"/>
          </w:tcPr>
          <w:p>
            <w:pPr>
              <w:pStyle w:val="TableContents"/>
              <w:bidi w:val="0"/>
              <w:spacing w:before="0" w:after="283"/>
              <w:jc w:val="both"/>
              <w:rPr>
                <w:b/>
              </w:rPr>
            </w:pPr>
            <w:r>
              <w:rPr>
                <w:b/>
              </w:rPr>
              <w:t>Total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613" w:name="xdx_986_eus-gaap--Investments_iI_c202606"/>
            <w:bookmarkEnd w:id="613"/>
          </w:p>
        </w:tc>
        <w:tc>
          <w:tcPr>
            <w:tcW w:w="148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13,730,703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614" w:name="xdx_981_eus-gaap--Investments_iI_c202512"/>
            <w:bookmarkEnd w:id="614"/>
          </w:p>
        </w:tc>
        <w:tc>
          <w:tcPr>
            <w:tcW w:w="148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14,626,858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5" w:name="xdx_8A8_zZFIPX8WjO0e"/>
      <w:bookmarkEnd w:id="61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6" w:name="xdx_894_eus-gaap--GainLossOnInvestmentsT"/>
      <w:bookmarkEnd w:id="616"/>
      <w:r>
        <w:rPr>
          <w:rFonts w:ascii="Times New Roman;Times;Serif" w:hAnsi="Times New Roman;Times;Serif"/>
          <w:b w:val="false"/>
          <w:i w:val="false"/>
          <w:caps w:val="false"/>
          <w:smallCaps w:val="false"/>
          <w:sz w:val="20"/>
        </w:rPr>
        <w:t>The following table summarizes the Company’s share of losses from equity method investments reflected in the Company’s Consolidated Statements of Operations for the periods presented:</w:t>
      </w:r>
    </w:p>
    <w:p>
      <w:pPr>
        <w:pStyle w:val="TextBody"/>
        <w:bidi w:val="0"/>
        <w:spacing w:before="0" w:after="0"/>
        <w:ind w:left="0" w:right="0" w:hanging="0"/>
        <w:jc w:val="both"/>
        <w:rPr>
          <w:caps w:val="false"/>
          <w:smallCaps w:val="false"/>
        </w:rPr>
      </w:pPr>
      <w:r>
        <w:rPr>
          <w:caps w:val="false"/>
          <w:smallCaps w:val="false"/>
        </w:rPr>
        <w:t> </w:t>
      </w:r>
      <w:bookmarkStart w:id="617" w:name="xdx_8B4_zRkSwtNnD378"/>
      <w:bookmarkEnd w:id="617"/>
      <w:r>
        <w:rPr>
          <w:rFonts w:ascii="Times New Roman;Times;Serif" w:hAnsi="Times New Roman;Times;Serif"/>
          <w:b w:val="false"/>
          <w:i w:val="false"/>
          <w:caps w:val="false"/>
          <w:smallCaps w:val="false"/>
          <w:sz w:val="20"/>
        </w:rPr>
        <w:t>SCHEDULE OF LOSS FROM EQUITY METHOD INVESTMENT</w:t>
      </w:r>
    </w:p>
    <w:tbl>
      <w:tblPr>
        <w:tblW w:w="8420" w:type="dxa"/>
        <w:jc w:val="left"/>
        <w:tblInd w:w="0" w:type="dxa"/>
        <w:tblLayout w:type="fixed"/>
        <w:tblCellMar>
          <w:top w:w="0" w:type="dxa"/>
          <w:left w:w="0" w:type="dxa"/>
          <w:bottom w:w="0" w:type="dxa"/>
          <w:right w:w="0" w:type="dxa"/>
        </w:tblCellMar>
      </w:tblPr>
      <w:tblGrid>
        <w:gridCol w:w="3725"/>
        <w:gridCol w:w="60"/>
        <w:gridCol w:w="140"/>
        <w:gridCol w:w="875"/>
        <w:gridCol w:w="95"/>
        <w:gridCol w:w="60"/>
        <w:gridCol w:w="140"/>
        <w:gridCol w:w="875"/>
        <w:gridCol w:w="95"/>
        <w:gridCol w:w="60"/>
        <w:gridCol w:w="140"/>
        <w:gridCol w:w="875"/>
        <w:gridCol w:w="95"/>
        <w:gridCol w:w="60"/>
        <w:gridCol w:w="140"/>
        <w:gridCol w:w="875"/>
        <w:gridCol w:w="110"/>
      </w:tblGrid>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18" w:name="xdx_494_20260401__20260630_zBpTr4xXdWJ2"/>
            <w:bookmarkEnd w:id="618"/>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19" w:name="xdx_493_20250401__20250630_z5rDcks9eYe2"/>
            <w:bookmarkEnd w:id="619"/>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20" w:name="xdx_494_20260101__20260630_zFJjxumUMqO"/>
            <w:bookmarkEnd w:id="620"/>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21" w:name="xdx_49A_20250101__20250630_zqh6mveWIPl4"/>
            <w:bookmarkEnd w:id="621"/>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3725" w:type="dxa"/>
            <w:tcBorders>
              <w:bottom w:val="single" w:sz="8" w:space="0" w:color="000000"/>
            </w:tcBorders>
            <w:shd w:fill="CCEEFF" w:val="clear"/>
            <w:tcMar>
              <w:bottom w:w="28" w:type="dxa"/>
            </w:tcMar>
            <w:vAlign w:val="center"/>
          </w:tcPr>
          <w:p>
            <w:pPr>
              <w:pStyle w:val="TableContents"/>
              <w:bidi w:val="0"/>
              <w:spacing w:before="0" w:after="283"/>
              <w:jc w:val="both"/>
              <w:rPr>
                <w:b/>
              </w:rPr>
            </w:pPr>
            <w:r>
              <w:rPr>
                <w:b/>
              </w:rPr>
              <w:t>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22" w:name="xdx_40B_eus-gaap--IncomeLossFromEquityMe"/>
            <w:bookmarkEnd w:id="622"/>
          </w:p>
        </w:tc>
      </w:tr>
      <w:tr>
        <w:trPr/>
        <w:tc>
          <w:tcPr>
            <w:tcW w:w="3725" w:type="dxa"/>
            <w:tcBorders/>
            <w:shd w:fill="FFFFFF" w:val="clear"/>
            <w:vAlign w:val="center"/>
          </w:tcPr>
          <w:p>
            <w:pPr>
              <w:pStyle w:val="TableContents"/>
              <w:bidi w:val="0"/>
              <w:spacing w:before="0" w:after="283"/>
              <w:jc w:val="both"/>
              <w:rPr/>
            </w:pPr>
            <w:r>
              <w:rPr/>
              <w:t>Biomimetic Innovations Limited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(366,471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(122,303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(736,673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(191,879</w:t>
            </w:r>
          </w:p>
        </w:tc>
        <w:tc>
          <w:tcPr>
            <w:tcW w:w="110" w:type="dxa"/>
            <w:tcBorders/>
            <w:shd w:fill="FFFFFF" w:val="clear"/>
            <w:vAlign w:val="center"/>
          </w:tcPr>
          <w:p>
            <w:pPr>
              <w:pStyle w:val="TableContents"/>
              <w:bidi w:val="0"/>
              <w:spacing w:before="0" w:after="283"/>
              <w:jc w:val="left"/>
              <w:rPr/>
            </w:pPr>
            <w:r>
              <w:rPr/>
              <w:t>)</w:t>
            </w:r>
            <w:bookmarkStart w:id="623" w:name="xdx_40A_eus-gaap--IncomeLossFromEquityMe"/>
            <w:bookmarkEnd w:id="623"/>
          </w:p>
        </w:tc>
      </w:tr>
      <w:tr>
        <w:trPr/>
        <w:tc>
          <w:tcPr>
            <w:tcW w:w="3725" w:type="dxa"/>
            <w:tcBorders/>
            <w:shd w:fill="CCEEFF" w:val="clear"/>
            <w:vAlign w:val="center"/>
          </w:tcPr>
          <w:p>
            <w:pPr>
              <w:pStyle w:val="TableContents"/>
              <w:bidi w:val="0"/>
              <w:spacing w:before="0" w:after="283"/>
              <w:jc w:val="both"/>
              <w:rPr/>
            </w:pPr>
            <w:r>
              <w:rPr/>
              <w:t>ChemoMouthpiece, LLC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(67,177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(153,082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(154,484</w:t>
            </w:r>
          </w:p>
        </w:tc>
        <w:tc>
          <w:tcPr>
            <w:tcW w:w="110" w:type="dxa"/>
            <w:tcBorders/>
            <w:shd w:fill="CCEEFF" w:val="clear"/>
            <w:vAlign w:val="center"/>
          </w:tcPr>
          <w:p>
            <w:pPr>
              <w:pStyle w:val="TableContents"/>
              <w:bidi w:val="0"/>
              <w:spacing w:before="0" w:after="283"/>
              <w:jc w:val="left"/>
              <w:rPr/>
            </w:pPr>
            <w:r>
              <w:rPr/>
              <w:t>)</w:t>
            </w:r>
            <w:bookmarkStart w:id="624" w:name="xdx_409_eus-gaap--IncomeLossFromEquityMe"/>
            <w:bookmarkEnd w:id="624"/>
          </w:p>
        </w:tc>
      </w:tr>
      <w:tr>
        <w:trPr/>
        <w:tc>
          <w:tcPr>
            <w:tcW w:w="3725" w:type="dxa"/>
            <w:tcBorders/>
            <w:shd w:fill="FFFFFF" w:val="clear"/>
            <w:vAlign w:val="center"/>
          </w:tcPr>
          <w:p>
            <w:pPr>
              <w:pStyle w:val="TableContents"/>
              <w:bidi w:val="0"/>
              <w:spacing w:before="0" w:after="283"/>
              <w:jc w:val="both"/>
              <w:rPr/>
            </w:pPr>
            <w:r>
              <w:rPr/>
              <w:t>SI Healthcare Technologies, LLC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(6,400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7,273</w:t>
            </w:r>
          </w:p>
        </w:tc>
        <w:tc>
          <w:tcPr>
            <w:tcW w:w="110" w:type="dxa"/>
            <w:tcBorders/>
            <w:shd w:fill="FFFFFF" w:val="clear"/>
            <w:vAlign w:val="center"/>
          </w:tcPr>
          <w:p>
            <w:pPr>
              <w:pStyle w:val="TableContents"/>
              <w:bidi w:val="0"/>
              <w:spacing w:before="0" w:after="283"/>
              <w:jc w:val="left"/>
              <w:rPr/>
            </w:pPr>
            <w:r>
              <w:rPr/>
              <w:t> </w:t>
            </w:r>
            <w:bookmarkStart w:id="625" w:name="xdx_405_eus-gaap--IncomeLossFromEquityMe"/>
            <w:bookmarkEnd w:id="625"/>
          </w:p>
        </w:tc>
      </w:tr>
      <w:tr>
        <w:trPr/>
        <w:tc>
          <w:tcPr>
            <w:tcW w:w="3725"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(433,648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(195,482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(896,155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(339,090</w:t>
            </w:r>
          </w:p>
        </w:tc>
        <w:tc>
          <w:tcPr>
            <w:tcW w:w="110" w:type="dxa"/>
            <w:tcBorders/>
            <w:shd w:fill="CCEEFF" w:val="clear"/>
            <w:vAlign w:val="center"/>
          </w:tcPr>
          <w:p>
            <w:pPr>
              <w:pStyle w:val="TableContents"/>
              <w:bidi w:val="0"/>
              <w:spacing w:before="0" w:after="283"/>
              <w:jc w:val="left"/>
              <w:rPr>
                <w:b/>
              </w:rPr>
            </w:pPr>
            <w:r>
              <w:rPr>
                <w:b/>
              </w:rPr>
              <w:t>)</w:t>
            </w:r>
            <w:bookmarkStart w:id="626" w:name="xdx_407_eus-gaap--IncomeLossFromEquityMe"/>
            <w:bookmarkEnd w:id="626"/>
          </w:p>
        </w:tc>
      </w:tr>
      <w:tr>
        <w:trPr/>
        <w:tc>
          <w:tcPr>
            <w:tcW w:w="3725" w:type="dxa"/>
            <w:tcBorders/>
            <w:shd w:fill="CCEEFF" w:val="clear"/>
            <w:vAlign w:val="center"/>
          </w:tcPr>
          <w:p>
            <w:pPr>
              <w:pStyle w:val="TableContents"/>
              <w:bidi w:val="0"/>
              <w:spacing w:before="0" w:after="283"/>
              <w:jc w:val="both"/>
              <w:rPr>
                <w:b/>
              </w:rPr>
            </w:pPr>
            <w:r>
              <w:rPr>
                <w:b/>
              </w:rPr>
              <w:t>Loss from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(433,648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(195,482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(896,155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(339,090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bookmarkStart w:id="627" w:name="xdx_8AB_zP3argHgvxyj"/>
      <w:bookmarkEnd w:id="6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8" w:name="xdx_80E_eus-gaap--LesseeOperatingLeasesT"/>
      <w:bookmarkEnd w:id="628"/>
      <w:r>
        <w:rPr>
          <w:rFonts w:ascii="Times New Roman;Times;Serif" w:hAnsi="Times New Roman;Times;Serif"/>
          <w:b/>
          <w:i w:val="false"/>
          <w:caps w:val="false"/>
          <w:smallCaps w:val="false"/>
          <w:sz w:val="20"/>
        </w:rPr>
        <w:t xml:space="preserve">NOTE 7 — </w:t>
      </w:r>
      <w:bookmarkStart w:id="629" w:name="xdx_82D_zmupBCWAquj9"/>
      <w:bookmarkEnd w:id="629"/>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enters operating lease contracts for office space and equipment. Arrangements are evaluated at inception to determine whether such arrangements constitute a lease. Right of use assets (“ROU assets”) represent the right to use an underlying asset for the lease term, and lease liabilities represent the obligation to make lease payments arising from the lease. Operating lease ROU assets and liabilities were recognized on the transition date based on the present value of lease payments over the respective lease term, with the office space ROU asset adjusted for deferred rent liability.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w:t>
      </w:r>
      <w:bookmarkStart w:id="630" w:name="xdx_901_eus-gaap--LesseeOperatingLeaseDe"/>
      <w:bookmarkEnd w:id="630"/>
      <w:r>
        <w:rPr>
          <w:rFonts w:ascii="Times New Roman;Times;Serif" w:hAnsi="Times New Roman;Times;Serif"/>
          <w:b w:val="false"/>
          <w:i w:val="false"/>
          <w:caps w:val="false"/>
          <w:smallCaps w:val="false"/>
          <w:sz w:val="20"/>
        </w:rPr>
        <w:t xml:space="preserve">two material operating leases for office space. The leases had remaining lease terms of </w:t>
      </w:r>
      <w:bookmarkStart w:id="631" w:name="xdx_901_eus-gaap--LesseeOperatingLeaseRe"/>
      <w:bookmarkEnd w:id="631"/>
      <w:r>
        <w:rPr>
          <w:rFonts w:ascii="Times New Roman;Times;Serif" w:hAnsi="Times New Roman;Times;Serif"/>
          <w:b w:val="false"/>
          <w:i w:val="false"/>
          <w:caps w:val="false"/>
          <w:smallCaps w:val="false"/>
          <w:sz w:val="20"/>
        </w:rPr>
        <w:t xml:space="preserve">57 and </w:t>
      </w:r>
      <w:bookmarkStart w:id="632" w:name="xdx_902_eus-gaap--LesseeOperatingLeaseRe"/>
      <w:bookmarkEnd w:id="632"/>
      <w:r>
        <w:rPr>
          <w:rFonts w:ascii="Times New Roman;Times;Serif" w:hAnsi="Times New Roman;Times;Serif"/>
          <w:b w:val="false"/>
          <w:i w:val="false"/>
          <w:caps w:val="false"/>
          <w:smallCaps w:val="false"/>
          <w:sz w:val="20"/>
        </w:rPr>
        <w:t>26 months as of June 30, 2026, respectively. For practical expediency, the Company has elected not to recognize ROU assets and lease liabilities related to short-term leases and to not separate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 value of the Company’s operating lease liabilities is presented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3" w:name="xdx_893_eus-gaap--LesseeOperatingLeaseLi"/>
      <w:bookmarkEnd w:id="633"/>
      <w:r>
        <w:rPr>
          <w:rFonts w:ascii="Times New Roman;Times;Serif" w:hAnsi="Times New Roman;Times;Serif"/>
          <w:b/>
          <w:i w:val="false"/>
          <w:caps w:val="false"/>
          <w:smallCaps w:val="false"/>
          <w:sz w:val="20"/>
        </w:rPr>
        <w:t>Maturity of Operating Lease Liabilities</w:t>
      </w:r>
    </w:p>
    <w:p>
      <w:pPr>
        <w:pStyle w:val="TextBody"/>
        <w:bidi w:val="0"/>
        <w:spacing w:before="0" w:after="0"/>
        <w:ind w:left="0" w:right="0" w:hanging="0"/>
        <w:jc w:val="both"/>
        <w:rPr>
          <w:caps w:val="false"/>
          <w:smallCaps w:val="false"/>
        </w:rPr>
      </w:pPr>
      <w:r>
        <w:rPr>
          <w:caps w:val="false"/>
          <w:smallCaps w:val="false"/>
        </w:rPr>
        <w:t> </w:t>
      </w:r>
      <w:bookmarkStart w:id="634" w:name="xdx_8BA_zLYmjkaNVtJf"/>
      <w:bookmarkEnd w:id="634"/>
      <w:r>
        <w:rPr>
          <w:rFonts w:ascii="Times New Roman;Times;Serif" w:hAnsi="Times New Roman;Times;Serif"/>
          <w:b/>
          <w:i w:val="false"/>
          <w:caps w:val="false"/>
          <w:smallCaps w:val="false"/>
          <w:sz w:val="20"/>
        </w:rPr>
        <w:t>SCHEDULE OF OPERATING LEASE LIABILITY</w:t>
      </w:r>
    </w:p>
    <w:tbl>
      <w:tblPr>
        <w:tblW w:w="4850" w:type="dxa"/>
        <w:jc w:val="left"/>
        <w:tblInd w:w="0" w:type="dxa"/>
        <w:tblLayout w:type="fixed"/>
        <w:tblCellMar>
          <w:top w:w="0" w:type="dxa"/>
          <w:left w:w="0" w:type="dxa"/>
          <w:bottom w:w="0" w:type="dxa"/>
          <w:right w:w="0" w:type="dxa"/>
        </w:tblCellMar>
      </w:tblPr>
      <w:tblGrid>
        <w:gridCol w:w="3560"/>
        <w:gridCol w:w="60"/>
        <w:gridCol w:w="140"/>
        <w:gridCol w:w="980"/>
        <w:gridCol w:w="110"/>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35" w:name="xdx_491_20260630_z8DZUdXhUxtd"/>
            <w:bookmarkEnd w:id="635"/>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center"/>
              <w:rPr/>
            </w:pPr>
            <w:r>
              <w:rPr/>
              <w:t> </w:t>
            </w:r>
            <w:bookmarkStart w:id="636" w:name="xdx_400_eus-gaap--LesseeOperatingLeaseLi"/>
            <w:bookmarkEnd w:id="636"/>
          </w:p>
        </w:tc>
      </w:tr>
      <w:tr>
        <w:trPr/>
        <w:tc>
          <w:tcPr>
            <w:tcW w:w="3560" w:type="dxa"/>
            <w:tcBorders/>
            <w:shd w:fill="CCEEFF" w:val="clear"/>
            <w:vAlign w:val="center"/>
          </w:tcPr>
          <w:p>
            <w:pPr>
              <w:pStyle w:val="TableContents"/>
              <w:bidi w:val="0"/>
              <w:spacing w:before="0" w:after="283"/>
              <w:jc w:val="both"/>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311,561</w:t>
            </w:r>
          </w:p>
        </w:tc>
        <w:tc>
          <w:tcPr>
            <w:tcW w:w="110" w:type="dxa"/>
            <w:tcBorders/>
            <w:shd w:fill="CCEEFF" w:val="clear"/>
            <w:vAlign w:val="center"/>
          </w:tcPr>
          <w:p>
            <w:pPr>
              <w:pStyle w:val="TableContents"/>
              <w:bidi w:val="0"/>
              <w:spacing w:before="0" w:after="283"/>
              <w:jc w:val="left"/>
              <w:rPr/>
            </w:pPr>
            <w:r>
              <w:rPr/>
              <w:t> </w:t>
            </w:r>
            <w:bookmarkStart w:id="637" w:name="xdx_40E_eus-gaap--LesseeOperatingLeaseLi"/>
            <w:bookmarkEnd w:id="637"/>
          </w:p>
        </w:tc>
      </w:tr>
      <w:tr>
        <w:trPr/>
        <w:tc>
          <w:tcPr>
            <w:tcW w:w="3560"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631,286</w:t>
            </w:r>
          </w:p>
        </w:tc>
        <w:tc>
          <w:tcPr>
            <w:tcW w:w="110" w:type="dxa"/>
            <w:tcBorders/>
            <w:shd w:fill="FFFFFF" w:val="clear"/>
            <w:vAlign w:val="center"/>
          </w:tcPr>
          <w:p>
            <w:pPr>
              <w:pStyle w:val="TableContents"/>
              <w:bidi w:val="0"/>
              <w:spacing w:before="0" w:after="283"/>
              <w:jc w:val="left"/>
              <w:rPr/>
            </w:pPr>
            <w:r>
              <w:rPr/>
              <w:t> </w:t>
            </w:r>
            <w:bookmarkStart w:id="638" w:name="xdx_40D_eus-gaap--LesseeOperatingLeaseLi"/>
            <w:bookmarkEnd w:id="638"/>
          </w:p>
        </w:tc>
      </w:tr>
      <w:tr>
        <w:trPr/>
        <w:tc>
          <w:tcPr>
            <w:tcW w:w="3560" w:type="dxa"/>
            <w:tcBorders/>
            <w:shd w:fill="CCEEFF" w:val="clear"/>
            <w:vAlign w:val="center"/>
          </w:tcPr>
          <w:p>
            <w:pPr>
              <w:pStyle w:val="TableContents"/>
              <w:bidi w:val="0"/>
              <w:spacing w:before="0" w:after="283"/>
              <w:jc w:val="both"/>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596,412</w:t>
            </w:r>
          </w:p>
        </w:tc>
        <w:tc>
          <w:tcPr>
            <w:tcW w:w="110" w:type="dxa"/>
            <w:tcBorders/>
            <w:shd w:fill="CCEEFF" w:val="clear"/>
            <w:vAlign w:val="center"/>
          </w:tcPr>
          <w:p>
            <w:pPr>
              <w:pStyle w:val="TableContents"/>
              <w:bidi w:val="0"/>
              <w:spacing w:before="0" w:after="283"/>
              <w:jc w:val="left"/>
              <w:rPr/>
            </w:pPr>
            <w:r>
              <w:rPr/>
              <w:t> </w:t>
            </w:r>
            <w:bookmarkStart w:id="639" w:name="xdx_407_eus-gaap--LesseeOperatingLeaseLi"/>
            <w:bookmarkEnd w:id="639"/>
          </w:p>
        </w:tc>
      </w:tr>
      <w:tr>
        <w:trPr/>
        <w:tc>
          <w:tcPr>
            <w:tcW w:w="3560" w:type="dxa"/>
            <w:tcBorders/>
            <w:shd w:fill="FFFFFF" w:val="clear"/>
            <w:vAlign w:val="center"/>
          </w:tcPr>
          <w:p>
            <w:pPr>
              <w:pStyle w:val="TableContents"/>
              <w:bidi w:val="0"/>
              <w:spacing w:before="0" w:after="283"/>
              <w:jc w:val="both"/>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514,160</w:t>
            </w:r>
          </w:p>
        </w:tc>
        <w:tc>
          <w:tcPr>
            <w:tcW w:w="110" w:type="dxa"/>
            <w:tcBorders/>
            <w:shd w:fill="FFFFFF" w:val="clear"/>
            <w:vAlign w:val="center"/>
          </w:tcPr>
          <w:p>
            <w:pPr>
              <w:pStyle w:val="TableContents"/>
              <w:bidi w:val="0"/>
              <w:spacing w:before="0" w:after="283"/>
              <w:jc w:val="left"/>
              <w:rPr/>
            </w:pPr>
            <w:r>
              <w:rPr/>
              <w:t> </w:t>
            </w:r>
            <w:bookmarkStart w:id="640" w:name="xdx_40E_eus-gaap--LesseeOperatingLeaseLi"/>
            <w:bookmarkEnd w:id="640"/>
          </w:p>
        </w:tc>
      </w:tr>
      <w:tr>
        <w:trPr/>
        <w:tc>
          <w:tcPr>
            <w:tcW w:w="3560" w:type="dxa"/>
            <w:tcBorders/>
            <w:shd w:fill="CCEEFF" w:val="clear"/>
            <w:vAlign w:val="center"/>
          </w:tcPr>
          <w:p>
            <w:pPr>
              <w:pStyle w:val="TableContents"/>
              <w:bidi w:val="0"/>
              <w:spacing w:before="0" w:after="283"/>
              <w:jc w:val="both"/>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521,805</w:t>
            </w:r>
          </w:p>
        </w:tc>
        <w:tc>
          <w:tcPr>
            <w:tcW w:w="110" w:type="dxa"/>
            <w:tcBorders/>
            <w:shd w:fill="CCEEFF" w:val="clear"/>
            <w:vAlign w:val="center"/>
          </w:tcPr>
          <w:p>
            <w:pPr>
              <w:pStyle w:val="TableContents"/>
              <w:bidi w:val="0"/>
              <w:spacing w:before="0" w:after="283"/>
              <w:jc w:val="left"/>
              <w:rPr/>
            </w:pPr>
            <w:r>
              <w:rPr/>
              <w:t> </w:t>
            </w:r>
            <w:bookmarkStart w:id="641" w:name="xdx_406_eus-gaap--LesseeOperatingLeaseLi"/>
            <w:bookmarkEnd w:id="641"/>
          </w:p>
        </w:tc>
      </w:tr>
      <w:tr>
        <w:trPr/>
        <w:tc>
          <w:tcPr>
            <w:tcW w:w="3560" w:type="dxa"/>
            <w:tcBorders/>
            <w:shd w:fill="FFFFFF" w:val="clear"/>
            <w:vAlign w:val="center"/>
          </w:tcPr>
          <w:p>
            <w:pPr>
              <w:pStyle w:val="TableContents"/>
              <w:bidi w:val="0"/>
              <w:spacing w:before="0" w:after="283"/>
              <w:jc w:val="both"/>
              <w:rPr/>
            </w:pPr>
            <w:r>
              <w:rPr/>
              <w:t>2031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131,885</w:t>
            </w:r>
          </w:p>
        </w:tc>
        <w:tc>
          <w:tcPr>
            <w:tcW w:w="110" w:type="dxa"/>
            <w:tcBorders/>
            <w:shd w:fill="FFFFFF" w:val="clear"/>
            <w:vAlign w:val="center"/>
          </w:tcPr>
          <w:p>
            <w:pPr>
              <w:pStyle w:val="TableContents"/>
              <w:bidi w:val="0"/>
              <w:spacing w:before="0" w:after="283"/>
              <w:jc w:val="left"/>
              <w:rPr/>
            </w:pPr>
            <w:r>
              <w:rPr/>
              <w:t> </w:t>
            </w:r>
            <w:bookmarkStart w:id="642" w:name="xdx_402_eus-gaap--LesseeOperatingLeaseLi"/>
            <w:bookmarkEnd w:id="642"/>
          </w:p>
        </w:tc>
      </w:tr>
      <w:tr>
        <w:trPr/>
        <w:tc>
          <w:tcPr>
            <w:tcW w:w="3560" w:type="dxa"/>
            <w:tcBorders/>
            <w:shd w:fill="CCEEFF" w:val="clear"/>
            <w:vAlign w:val="center"/>
          </w:tcPr>
          <w:p>
            <w:pPr>
              <w:pStyle w:val="TableContents"/>
              <w:bidi w:val="0"/>
              <w:spacing w:before="0" w:after="283"/>
              <w:jc w:val="both"/>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43" w:name="xdx_40A_eus-gaap--LesseeOperatingLeaseLi"/>
            <w:bookmarkEnd w:id="643"/>
          </w:p>
        </w:tc>
      </w:tr>
      <w:tr>
        <w:trPr/>
        <w:tc>
          <w:tcPr>
            <w:tcW w:w="3560" w:type="dxa"/>
            <w:tcBorders/>
            <w:shd w:fill="FFFFFF" w:val="clear"/>
            <w:vAlign w:val="center"/>
          </w:tcPr>
          <w:p>
            <w:pPr>
              <w:pStyle w:val="TableContents"/>
              <w:bidi w:val="0"/>
              <w:spacing w:before="0" w:after="283"/>
              <w:jc w:val="both"/>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2,707,109</w:t>
            </w:r>
          </w:p>
        </w:tc>
        <w:tc>
          <w:tcPr>
            <w:tcW w:w="110" w:type="dxa"/>
            <w:tcBorders/>
            <w:shd w:fill="FFFFFF" w:val="clear"/>
            <w:vAlign w:val="center"/>
          </w:tcPr>
          <w:p>
            <w:pPr>
              <w:pStyle w:val="TableContents"/>
              <w:bidi w:val="0"/>
              <w:spacing w:before="0" w:after="283"/>
              <w:jc w:val="left"/>
              <w:rPr/>
            </w:pPr>
            <w:r>
              <w:rPr/>
              <w:t> </w:t>
            </w:r>
            <w:bookmarkStart w:id="644" w:name="xdx_40C_eus-gaap--LesseeOperatingLeaseLi"/>
            <w:bookmarkEnd w:id="644"/>
          </w:p>
        </w:tc>
      </w:tr>
      <w:tr>
        <w:trPr/>
        <w:tc>
          <w:tcPr>
            <w:tcW w:w="356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(654,427</w:t>
            </w:r>
          </w:p>
        </w:tc>
        <w:tc>
          <w:tcPr>
            <w:tcW w:w="110" w:type="dxa"/>
            <w:tcBorders/>
            <w:shd w:fill="CCEEFF" w:val="clear"/>
            <w:vAlign w:val="center"/>
          </w:tcPr>
          <w:p>
            <w:pPr>
              <w:pStyle w:val="TableContents"/>
              <w:bidi w:val="0"/>
              <w:spacing w:before="0" w:after="283"/>
              <w:jc w:val="left"/>
              <w:rPr/>
            </w:pPr>
            <w:r>
              <w:rPr/>
              <w:t>)</w:t>
            </w:r>
            <w:bookmarkStart w:id="645" w:name="xdx_404_eus-gaap--OperatingLeaseLiabilit"/>
            <w:bookmarkEnd w:id="645"/>
          </w:p>
        </w:tc>
      </w:tr>
      <w:tr>
        <w:trPr/>
        <w:tc>
          <w:tcPr>
            <w:tcW w:w="3560" w:type="dxa"/>
            <w:tcBorders/>
            <w:shd w:fill="FFFFFF" w:val="clear"/>
            <w:vAlign w:val="center"/>
          </w:tcPr>
          <w:p>
            <w:pPr>
              <w:pStyle w:val="TableContents"/>
              <w:bidi w:val="0"/>
              <w:spacing w:before="0" w:after="283"/>
              <w:jc w:val="both"/>
              <w:rPr/>
            </w:pPr>
            <w:r>
              <w:rPr/>
              <w:t>Present Value of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2,052,682</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46" w:name="xdx_409_eus-gaap--OperatingLeaseLiabilit"/>
            <w:bookmarkEnd w:id="646"/>
          </w:p>
        </w:tc>
      </w:tr>
      <w:tr>
        <w:trPr/>
        <w:tc>
          <w:tcPr>
            <w:tcW w:w="3560" w:type="dxa"/>
            <w:tcBorders/>
            <w:shd w:fill="FFFFFF" w:val="clear"/>
            <w:vAlign w:val="center"/>
          </w:tcPr>
          <w:p>
            <w:pPr>
              <w:pStyle w:val="TableContents"/>
              <w:bidi w:val="0"/>
              <w:spacing w:before="0" w:after="283"/>
              <w:jc w:val="both"/>
              <w:rPr/>
            </w:pPr>
            <w:r>
              <w:rPr/>
              <w:t>Operating lease liabilities –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383,153</w:t>
            </w:r>
          </w:p>
        </w:tc>
        <w:tc>
          <w:tcPr>
            <w:tcW w:w="110" w:type="dxa"/>
            <w:tcBorders/>
            <w:shd w:fill="FFFFFF" w:val="clear"/>
            <w:vAlign w:val="center"/>
          </w:tcPr>
          <w:p>
            <w:pPr>
              <w:pStyle w:val="TableContents"/>
              <w:bidi w:val="0"/>
              <w:spacing w:before="0" w:after="283"/>
              <w:jc w:val="left"/>
              <w:rPr/>
            </w:pPr>
            <w:r>
              <w:rPr/>
              <w:t> </w:t>
            </w:r>
            <w:bookmarkStart w:id="647" w:name="xdx_40C_eus-gaap--OperatingLeaseLiabilit"/>
            <w:bookmarkEnd w:id="647"/>
          </w:p>
        </w:tc>
      </w:tr>
      <w:tr>
        <w:trPr/>
        <w:tc>
          <w:tcPr>
            <w:tcW w:w="3560" w:type="dxa"/>
            <w:tcBorders/>
            <w:shd w:fill="CCEEFF" w:val="clear"/>
            <w:vAlign w:val="center"/>
          </w:tcPr>
          <w:p>
            <w:pPr>
              <w:pStyle w:val="TableContents"/>
              <w:bidi w:val="0"/>
              <w:spacing w:before="0" w:after="283"/>
              <w:jc w:val="both"/>
              <w:rPr/>
            </w:pPr>
            <w:r>
              <w:rPr/>
              <w:t>Operating lease liabilities – long-term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1,669,529</w:t>
            </w:r>
          </w:p>
        </w:tc>
        <w:tc>
          <w:tcPr>
            <w:tcW w:w="110" w:type="dxa"/>
            <w:tcBorders/>
            <w:shd w:fill="CCEEFF" w:val="clear"/>
            <w:vAlign w:val="center"/>
          </w:tcPr>
          <w:p>
            <w:pPr>
              <w:pStyle w:val="TableContents"/>
              <w:bidi w:val="0"/>
              <w:spacing w:before="0" w:after="283"/>
              <w:jc w:val="left"/>
              <w:rPr/>
            </w:pPr>
            <w:r>
              <w:rPr/>
              <w:t> </w:t>
            </w:r>
            <w:bookmarkStart w:id="648" w:name="xdx_404_eus-gaap--OperatingLeaseLiabilit"/>
            <w:bookmarkEnd w:id="648"/>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2,052,682</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49" w:name="xdx_40F_eus-gaap--OperatingLeaseRightOfU"/>
            <w:bookmarkEnd w:id="649"/>
          </w:p>
        </w:tc>
      </w:tr>
      <w:tr>
        <w:trPr/>
        <w:tc>
          <w:tcPr>
            <w:tcW w:w="3560" w:type="dxa"/>
            <w:tcBorders/>
            <w:shd w:fill="FFFFFF" w:val="clear"/>
            <w:vAlign w:val="center"/>
          </w:tcPr>
          <w:p>
            <w:pPr>
              <w:pStyle w:val="TableContents"/>
              <w:bidi w:val="0"/>
              <w:spacing w:before="0" w:after="283"/>
              <w:jc w:val="both"/>
              <w:rPr/>
            </w:pPr>
            <w:r>
              <w:rPr/>
              <w:t>Right of use assets –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1,909,278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0" w:name="xdx_8A7_zm0A9Ir7ffXa"/>
      <w:bookmarkEnd w:id="6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lease expense of $</w:t>
      </w:r>
      <w:bookmarkStart w:id="651" w:name="xdx_90A_eus-gaap--OperatingLeaseExpense_"/>
      <w:bookmarkEnd w:id="651"/>
      <w:r>
        <w:rPr>
          <w:rFonts w:ascii="Times New Roman;Times;Serif" w:hAnsi="Times New Roman;Times;Serif"/>
          <w:b w:val="false"/>
          <w:i w:val="false"/>
          <w:caps w:val="false"/>
          <w:smallCaps w:val="false"/>
          <w:sz w:val="20"/>
        </w:rPr>
        <w:t>152,770 and $</w:t>
      </w:r>
      <w:bookmarkStart w:id="652" w:name="xdx_907_eus-gaap--OperatingLeaseExpense_"/>
      <w:bookmarkEnd w:id="652"/>
      <w:r>
        <w:rPr>
          <w:rFonts w:ascii="Times New Roman;Times;Serif" w:hAnsi="Times New Roman;Times;Serif"/>
          <w:b w:val="false"/>
          <w:i w:val="false"/>
          <w:caps w:val="false"/>
          <w:smallCaps w:val="false"/>
          <w:sz w:val="20"/>
        </w:rPr>
        <w:t>128,629 for the three months ended June 30, 2026 and 2025, respectively, and $</w:t>
      </w:r>
      <w:bookmarkStart w:id="653" w:name="xdx_907_eus-gaap--OperatingLeaseExpense_"/>
      <w:bookmarkEnd w:id="653"/>
      <w:r>
        <w:rPr>
          <w:rFonts w:ascii="Times New Roman;Times;Serif" w:hAnsi="Times New Roman;Times;Serif"/>
          <w:b w:val="false"/>
          <w:i w:val="false"/>
          <w:caps w:val="false"/>
          <w:smallCaps w:val="false"/>
          <w:sz w:val="20"/>
        </w:rPr>
        <w:t>305,541 and $</w:t>
      </w:r>
      <w:bookmarkStart w:id="654" w:name="xdx_900_eus-gaap--OperatingLeaseExpense_"/>
      <w:bookmarkEnd w:id="654"/>
      <w:r>
        <w:rPr>
          <w:rFonts w:ascii="Times New Roman;Times;Serif" w:hAnsi="Times New Roman;Times;Serif"/>
          <w:b w:val="false"/>
          <w:i w:val="false"/>
          <w:caps w:val="false"/>
          <w:smallCaps w:val="false"/>
          <w:sz w:val="20"/>
        </w:rPr>
        <w:t>260,197 for the six months ended June 30, 2026 and 2025, respectively. Cash paid for amounts included in the measurement of operating lease liabilities was $</w:t>
      </w:r>
      <w:bookmarkStart w:id="655" w:name="xdx_906_eus-gaap--OperatingLeasePayments"/>
      <w:bookmarkEnd w:id="655"/>
      <w:r>
        <w:rPr>
          <w:rFonts w:ascii="Times New Roman;Times;Serif" w:hAnsi="Times New Roman;Times;Serif"/>
          <w:b w:val="false"/>
          <w:i w:val="false"/>
          <w:caps w:val="false"/>
          <w:smallCaps w:val="false"/>
          <w:sz w:val="20"/>
        </w:rPr>
        <w:t>308,435 and $</w:t>
      </w:r>
      <w:bookmarkStart w:id="656" w:name="xdx_90F_eus-gaap--OperatingLeasePayments"/>
      <w:bookmarkEnd w:id="656"/>
      <w:r>
        <w:rPr>
          <w:rFonts w:ascii="Times New Roman;Times;Serif" w:hAnsi="Times New Roman;Times;Serif"/>
          <w:b w:val="false"/>
          <w:i w:val="false"/>
          <w:caps w:val="false"/>
          <w:smallCaps w:val="false"/>
          <w:sz w:val="20"/>
        </w:rPr>
        <w:t>259,786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Company’s operating leases had a weighted average remaining lease term of </w:t>
      </w:r>
      <w:bookmarkStart w:id="657" w:name="xdx_90A_eus-gaap--OperatingLeaseWeighted"/>
      <w:bookmarkEnd w:id="657"/>
      <w:r>
        <w:rPr>
          <w:rFonts w:ascii="Times New Roman;Times;Serif" w:hAnsi="Times New Roman;Times;Serif"/>
          <w:b w:val="false"/>
          <w:i w:val="false"/>
          <w:caps w:val="false"/>
          <w:smallCaps w:val="false"/>
          <w:sz w:val="20"/>
        </w:rPr>
        <w:t xml:space="preserve">4.5 years and a weighted average discount rate of </w:t>
      </w:r>
      <w:bookmarkStart w:id="658" w:name="xdx_902_eus-gaap--OperatingLeaseWeighted"/>
      <w:bookmarkEnd w:id="658"/>
      <w:r>
        <w:rPr>
          <w:rFonts w:ascii="Times New Roman;Times;Serif" w:hAnsi="Times New Roman;Times;Serif"/>
          <w:b w:val="false"/>
          <w:i w:val="false"/>
          <w:caps w:val="false"/>
          <w:smallCaps w:val="false"/>
          <w:sz w:val="20"/>
        </w:rPr>
        <w:t>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9" w:name="xdx_802_eus-gaap--DebtDisclosureTextBloc"/>
      <w:bookmarkEnd w:id="659"/>
      <w:r>
        <w:rPr>
          <w:rFonts w:ascii="Times New Roman;Times;Serif" w:hAnsi="Times New Roman;Times;Serif"/>
          <w:b/>
          <w:i w:val="false"/>
          <w:caps w:val="false"/>
          <w:smallCaps w:val="false"/>
          <w:sz w:val="20"/>
        </w:rPr>
        <w:t xml:space="preserve">NOTE 8 — </w:t>
      </w:r>
      <w:bookmarkStart w:id="660" w:name="xdx_821_zdj0iG8fZG82"/>
      <w:bookmarkEnd w:id="660"/>
      <w:r>
        <w:rPr>
          <w:rFonts w:ascii="Times New Roman;Times;Serif" w:hAnsi="Times New Roman;Times;Serif"/>
          <w:b/>
          <w:i w:val="false"/>
          <w:caps w:val="false"/>
          <w:smallCaps w:val="false"/>
          <w:sz w:val="20"/>
        </w:rPr>
        <w:t>DEBT AND CREDIT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CRG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(the “Closing Date”), the Company entered into a term loan agreement, by and among the Company, as borrower, the subsidiary guarantors party thereto from time to time (collectively, the “Guarantors”), CRG Servicing LLC as administrative agent and collateral agent (the “Agent”), and the lenders party thereto from time to time (the “CRG Term Loan Agreement”), providing for a senior secured term loan of up to $</w:t>
      </w:r>
      <w:bookmarkStart w:id="661" w:name="xdx_903_eus-gaap--SecuredDebt_iI_pn5n6_c"/>
      <w:bookmarkEnd w:id="661"/>
      <w:r>
        <w:rPr>
          <w:rFonts w:ascii="Times New Roman;Times;Serif" w:hAnsi="Times New Roman;Times;Serif"/>
          <w:b w:val="false"/>
          <w:i w:val="false"/>
          <w:caps w:val="false"/>
          <w:smallCaps w:val="false"/>
          <w:sz w:val="20"/>
        </w:rPr>
        <w:t>55.0 million (the “CRG Term Loan”). The CRG Term Loan Agreement initially provided for (i) a $</w:t>
      </w:r>
      <w:bookmarkStart w:id="662" w:name="xdx_903_ecustom--GrossCashReceivedFromTe"/>
      <w:bookmarkEnd w:id="662"/>
      <w:r>
        <w:rPr>
          <w:rFonts w:ascii="Times New Roman;Times;Serif" w:hAnsi="Times New Roman;Times;Serif"/>
          <w:b w:val="false"/>
          <w:i w:val="false"/>
          <w:caps w:val="false"/>
          <w:smallCaps w:val="false"/>
          <w:sz w:val="20"/>
        </w:rPr>
        <w:t>15.0 million senior secured term loan that was borrowed on the Closing Date (the “First Borrowing”) and (ii) up to an aggregate of $</w:t>
      </w:r>
      <w:bookmarkStart w:id="663" w:name="xdx_907_eus-gaap--DebtInstrumentUnusedBo"/>
      <w:bookmarkEnd w:id="663"/>
      <w:r>
        <w:rPr>
          <w:rFonts w:ascii="Times New Roman;Times;Serif" w:hAnsi="Times New Roman;Times;Serif"/>
          <w:b w:val="false"/>
          <w:i w:val="false"/>
          <w:caps w:val="false"/>
          <w:smallCaps w:val="false"/>
          <w:sz w:val="20"/>
        </w:rPr>
        <w:t xml:space="preserve">40.0 million available for borrowing in two subsequent borrowings, provided that </w:t>
      </w:r>
      <w:bookmarkStart w:id="664" w:name="xdx_907_eus-gaap--DebtInstrumentDescript"/>
      <w:bookmarkEnd w:id="664"/>
      <w:r>
        <w:rPr>
          <w:rFonts w:ascii="Times New Roman;Times;Serif" w:hAnsi="Times New Roman;Times;Serif"/>
          <w:b w:val="false"/>
          <w:i w:val="false"/>
          <w:caps w:val="false"/>
          <w:smallCaps w:val="false"/>
          <w:sz w:val="20"/>
        </w:rPr>
        <w:t>each such borrowing must be at least $5.0 million and occur between the Closing Date and June 30, 2025, subject to the satisfaction of certain conditions, including the Agent having received certain fees. The Company used a portion of the proceeds of the First Borrowing under the CRG Term Loan to extinguish the remaining balance under its previous term loan with Cadence Bank.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2024, the Company borrowed an additional $</w:t>
      </w:r>
      <w:bookmarkStart w:id="665" w:name="xdx_906_ecustom--GrossCashReceivedFromTe"/>
      <w:bookmarkEnd w:id="665"/>
      <w:r>
        <w:rPr>
          <w:rFonts w:ascii="Times New Roman;Times;Serif" w:hAnsi="Times New Roman;Times;Serif"/>
          <w:b w:val="false"/>
          <w:i w:val="false"/>
          <w:caps w:val="false"/>
          <w:smallCaps w:val="false"/>
          <w:sz w:val="20"/>
        </w:rPr>
        <w:t>15.5 million under the CRG Term Loan Agreement (the “Second Borrowing”). The Company used $</w:t>
      </w:r>
      <w:bookmarkStart w:id="666" w:name="xdx_90F_eus-gaap--PaymentsToAcquireInves"/>
      <w:bookmarkEnd w:id="666"/>
      <w:r>
        <w:rPr>
          <w:rFonts w:ascii="Times New Roman;Times;Serif" w:hAnsi="Times New Roman;Times;Serif"/>
          <w:b w:val="false"/>
          <w:i w:val="false"/>
          <w:caps w:val="false"/>
          <w:smallCaps w:val="false"/>
          <w:sz w:val="20"/>
        </w:rPr>
        <w:t>5.0 million of the proceeds of the Second Borrowing for its investment in CMp, and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2025, the Company and the Guarantors entered into the First Amendment to the CRG Term Loan Agreement with the Agent and the lenders party thereto from time to time, which amended the CRG Term Loan Agreement to, among other things, </w:t>
      </w:r>
      <w:bookmarkStart w:id="667" w:name="xdx_907_eus-gaap--DebtInstrumentDescript"/>
      <w:bookmarkEnd w:id="667"/>
      <w:r>
        <w:rPr>
          <w:rFonts w:ascii="Times New Roman;Times;Serif" w:hAnsi="Times New Roman;Times;Serif"/>
          <w:b w:val="false"/>
          <w:i w:val="false"/>
          <w:caps w:val="false"/>
          <w:smallCaps w:val="false"/>
          <w:sz w:val="20"/>
        </w:rPr>
        <w:t>(i) entitle the Company to two additional borrowings following the Second Borrowing, which borrowings were required to occur on or prior to December 31, 2025, if at all, and (ii) remove the requirement that any borrowing be in whole multiples of $5.0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borrowed an additional $</w:t>
      </w:r>
      <w:bookmarkStart w:id="668" w:name="xdx_90B_eus-gaap--ShortTermBorrowings_iI"/>
      <w:bookmarkEnd w:id="668"/>
      <w:r>
        <w:rPr>
          <w:rFonts w:ascii="Times New Roman;Times;Serif" w:hAnsi="Times New Roman;Times;Serif"/>
          <w:b w:val="false"/>
          <w:i w:val="false"/>
          <w:caps w:val="false"/>
          <w:smallCaps w:val="false"/>
          <w:sz w:val="20"/>
        </w:rPr>
        <w:t>12.25 million under the CRG Term Loan Agreement (the “Third Borrowing”). The First Borrowing, the Second Borrowing and the Third Borrowing each have a maturity date of March 30, 2029 (the “Maturity Date”), unless earlier prepaid. The Company used a portion of the proceeds from the Third Borrowing for permitted acquisition opportunities, such as the CarePICS Acquisition in April 2025, and for working capital and general corporate purposes. After the Third Borrowing, the Company did not take any additional draws under the CRG Term Loan prior to the final draw date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CRG Term Loan bears interest at a per annum rate equal to </w:t>
      </w:r>
      <w:bookmarkStart w:id="669" w:name="xdx_907_eus-gaap--DebtInstrumentInterest"/>
      <w:bookmarkEnd w:id="669"/>
      <w:r>
        <w:rPr>
          <w:rFonts w:ascii="Times New Roman;Times;Serif" w:hAnsi="Times New Roman;Times;Serif"/>
          <w:b w:val="false"/>
          <w:i w:val="false"/>
          <w:caps w:val="false"/>
          <w:smallCaps w:val="false"/>
          <w:sz w:val="20"/>
        </w:rPr>
        <w:t xml:space="preserve">13.25% (subject to a </w:t>
      </w:r>
      <w:bookmarkStart w:id="670" w:name="xdx_902_eus-gaap--DebtInstrumentInterest"/>
      <w:bookmarkEnd w:id="670"/>
      <w:r>
        <w:rPr>
          <w:rFonts w:ascii="Times New Roman;Times;Serif" w:hAnsi="Times New Roman;Times;Serif"/>
          <w:b w:val="false"/>
          <w:i w:val="false"/>
          <w:caps w:val="false"/>
          <w:smallCaps w:val="false"/>
          <w:sz w:val="20"/>
        </w:rPr>
        <w:t xml:space="preserve">4.00% increase during an event of default), of which </w:t>
      </w:r>
      <w:bookmarkStart w:id="671" w:name="xdx_904_ecustom--CashPaidPercentage_iI_p"/>
      <w:bookmarkEnd w:id="671"/>
      <w:r>
        <w:rPr>
          <w:rFonts w:ascii="Times New Roman;Times;Serif" w:hAnsi="Times New Roman;Times;Serif"/>
          <w:b w:val="false"/>
          <w:i w:val="false"/>
          <w:caps w:val="false"/>
          <w:smallCaps w:val="false"/>
          <w:sz w:val="20"/>
        </w:rPr>
        <w:t xml:space="preserve">8.00% must be paid in cash and </w:t>
      </w:r>
      <w:bookmarkStart w:id="672" w:name="xdx_90C_eus-gaap--DebtInstrumentInterest"/>
      <w:bookmarkEnd w:id="672"/>
      <w:r>
        <w:rPr>
          <w:rFonts w:ascii="Times New Roman;Times;Serif" w:hAnsi="Times New Roman;Times;Serif"/>
          <w:b w:val="false"/>
          <w:i w:val="false"/>
          <w:caps w:val="false"/>
          <w:smallCaps w:val="false"/>
          <w:sz w:val="20"/>
        </w:rPr>
        <w:t>5.25% may, at the election of the Company, be deferred through the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quarterly Payment Date (defined below) by adding such amount to the aggregate principal loan amount, so long as no default or event of default under the CRG Term Loan Agreement has occurred and is continuing. The Company is required to make quarterly interest payments on the final business day of each calendar quarter following the Closing Date, commencing on the first such date to occur at least 30 days after the Closing Date (each, a “Payment Date”). Interest is payable on each Payment Date in arrears with respect to the time between each Payment Date and upon the payment or prepayment of the CRG Term Loan, ending on the Maturity Date. In addition, the Company is required to pay an upfront fee of </w:t>
      </w:r>
      <w:bookmarkStart w:id="673" w:name="xdx_90B_ecustom--DebtInstrumentUpFrontFe"/>
      <w:bookmarkEnd w:id="673"/>
      <w:r>
        <w:rPr>
          <w:rFonts w:ascii="Times New Roman;Times;Serif" w:hAnsi="Times New Roman;Times;Serif"/>
          <w:b w:val="false"/>
          <w:i w:val="false"/>
          <w:caps w:val="false"/>
          <w:smallCaps w:val="false"/>
          <w:sz w:val="20"/>
        </w:rPr>
        <w:t xml:space="preserve">1.50% of the principal amount of the CRG Term Loan, which is payable as amounts are advanced under the CRG Term Loan on a pro rata basis. The Company is also required to pay a back-end fee equal to </w:t>
      </w:r>
      <w:bookmarkStart w:id="674" w:name="xdx_905_ecustom--DebtInstrumentBackEndFe"/>
      <w:bookmarkEnd w:id="674"/>
      <w:r>
        <w:rPr>
          <w:rFonts w:ascii="Times New Roman;Times;Serif" w:hAnsi="Times New Roman;Times;Serif"/>
          <w:b w:val="false"/>
          <w:i w:val="false"/>
          <w:caps w:val="false"/>
          <w:smallCaps w:val="false"/>
          <w:sz w:val="20"/>
        </w:rPr>
        <w:t>7.00% of the aggregate principal amount advanced under the CRG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w:t>
      </w:r>
      <w:bookmarkStart w:id="675" w:name="xdx_90B_eus-gaap--InterestPaid_c20260401"/>
      <w:bookmarkEnd w:id="675"/>
      <w:r>
        <w:rPr>
          <w:rFonts w:ascii="Times New Roman;Times;Serif" w:hAnsi="Times New Roman;Times;Serif"/>
          <w:b w:val="false"/>
          <w:i w:val="false"/>
          <w:caps w:val="false"/>
          <w:smallCaps w:val="false"/>
          <w:sz w:val="20"/>
        </w:rPr>
        <w:t>1,533,599 and $</w:t>
      </w:r>
      <w:bookmarkStart w:id="676" w:name="xdx_902_eus-gaap--InterestPaid_c20260101"/>
      <w:bookmarkEnd w:id="676"/>
      <w:r>
        <w:rPr>
          <w:rFonts w:ascii="Times New Roman;Times;Serif" w:hAnsi="Times New Roman;Times;Serif"/>
          <w:b w:val="false"/>
          <w:i w:val="false"/>
          <w:caps w:val="false"/>
          <w:smallCaps w:val="false"/>
          <w:sz w:val="20"/>
        </w:rPr>
        <w:t xml:space="preserve">3,050,346 of interest in cash for the three and six months ended June 30, 2026, respectively, and recorded </w:t>
      </w:r>
      <w:bookmarkStart w:id="677" w:name="xdx_904_eus-gaap--PaidInKindInterest_do_"/>
      <w:bookmarkStart w:id="678" w:name="xdx_908_eus-gaap--PaidInKindInterest_do_"/>
      <w:bookmarkEnd w:id="677"/>
      <w:bookmarkEnd w:id="678"/>
      <w:r>
        <w:rPr>
          <w:rFonts w:ascii="Times New Roman;Times;Serif" w:hAnsi="Times New Roman;Times;Serif"/>
          <w:b w:val="false"/>
          <w:i w:val="false"/>
          <w:caps w:val="false"/>
          <w:smallCaps w:val="false"/>
          <w:sz w:val="20"/>
        </w:rPr>
        <w:t>no paid-in-kind interest related to the CRG Term Loan for the three and six months ended June 30, 2026, reflecting the Company’s election to pay interest in cash rather than capitalizing and increasing the balance of the CRG Term Loan. For the three months ended June 30, 2025, the Company paid $</w:t>
      </w:r>
      <w:bookmarkStart w:id="679" w:name="xdx_90D_eus-gaap--InterestPaid_c20250401"/>
      <w:bookmarkEnd w:id="679"/>
      <w:r>
        <w:rPr>
          <w:rFonts w:ascii="Times New Roman;Times;Serif" w:hAnsi="Times New Roman;Times;Serif"/>
          <w:b w:val="false"/>
          <w:i w:val="false"/>
          <w:caps w:val="false"/>
          <w:smallCaps w:val="false"/>
          <w:sz w:val="20"/>
        </w:rPr>
        <w:t>889,784 of interest in cash and recorded $</w:t>
      </w:r>
      <w:bookmarkStart w:id="680" w:name="xdx_904_eus-gaap--PaidInKindInterest_c20"/>
      <w:bookmarkEnd w:id="680"/>
      <w:r>
        <w:rPr>
          <w:rFonts w:ascii="Times New Roman;Times;Serif" w:hAnsi="Times New Roman;Times;Serif"/>
          <w:b w:val="false"/>
          <w:i w:val="false"/>
          <w:caps w:val="false"/>
          <w:smallCaps w:val="false"/>
          <w:sz w:val="20"/>
        </w:rPr>
        <w:t>583,920 of interest paid-in-kind related to the CRG Term Loan. For the six months ended June 30, 2025, the Company paid $</w:t>
      </w:r>
      <w:bookmarkStart w:id="681" w:name="xdx_906_eus-gaap--InterestPaid_c20250101"/>
      <w:bookmarkEnd w:id="681"/>
      <w:r>
        <w:rPr>
          <w:rFonts w:ascii="Times New Roman;Times;Serif" w:hAnsi="Times New Roman;Times;Serif"/>
          <w:b w:val="false"/>
          <w:i w:val="false"/>
          <w:caps w:val="false"/>
          <w:smallCaps w:val="false"/>
          <w:sz w:val="20"/>
        </w:rPr>
        <w:t>1,516,563 of interest in cash and recorded $</w:t>
      </w:r>
      <w:bookmarkStart w:id="682" w:name="xdx_90A_eus-gaap--PaidInKindInterest_c20"/>
      <w:bookmarkEnd w:id="682"/>
      <w:r>
        <w:rPr>
          <w:rFonts w:ascii="Times New Roman;Times;Serif" w:hAnsi="Times New Roman;Times;Serif"/>
          <w:b w:val="false"/>
          <w:i w:val="false"/>
          <w:caps w:val="false"/>
          <w:smallCaps w:val="false"/>
          <w:sz w:val="20"/>
        </w:rPr>
        <w:t>995,244 of interest paid-in-kind related to the CRG Term Loan. The paid-in-kind interest for the three and six months ended June 30, 2025 was applied to the principal balance of the CRG Term Loan. The Company recorded $</w:t>
      </w:r>
      <w:bookmarkStart w:id="683" w:name="xdx_906_eus-gaap--InterestExpense_c20260"/>
      <w:bookmarkEnd w:id="683"/>
      <w:r>
        <w:rPr>
          <w:rFonts w:ascii="Times New Roman;Times;Serif" w:hAnsi="Times New Roman;Times;Serif"/>
          <w:b w:val="false"/>
          <w:i w:val="false"/>
          <w:caps w:val="false"/>
          <w:smallCaps w:val="false"/>
          <w:sz w:val="20"/>
        </w:rPr>
        <w:t>177,123 and $</w:t>
      </w:r>
      <w:bookmarkStart w:id="684" w:name="xdx_909_eus-gaap--InterestExpense_c20260"/>
      <w:bookmarkEnd w:id="684"/>
      <w:r>
        <w:rPr>
          <w:rFonts w:ascii="Times New Roman;Times;Serif" w:hAnsi="Times New Roman;Times;Serif"/>
          <w:b w:val="false"/>
          <w:i w:val="false"/>
          <w:caps w:val="false"/>
          <w:smallCaps w:val="false"/>
          <w:sz w:val="20"/>
        </w:rPr>
        <w:t>359,067 for the three and six months ended June 30, 2026, respectively, to interest expense related to the back-end fee. The Company recorded $</w:t>
      </w:r>
      <w:bookmarkStart w:id="685" w:name="xdx_90F_eus-gaap--InterestExpense_c20250"/>
      <w:bookmarkEnd w:id="685"/>
      <w:r>
        <w:rPr>
          <w:rFonts w:ascii="Times New Roman;Times;Serif" w:hAnsi="Times New Roman;Times;Serif"/>
          <w:b w:val="false"/>
          <w:i w:val="false"/>
          <w:caps w:val="false"/>
          <w:smallCaps w:val="false"/>
          <w:sz w:val="20"/>
        </w:rPr>
        <w:t>201,411 and $</w:t>
      </w:r>
      <w:bookmarkStart w:id="686" w:name="xdx_900_eus-gaap--InterestExpense_c20250"/>
      <w:bookmarkEnd w:id="686"/>
      <w:r>
        <w:rPr>
          <w:rFonts w:ascii="Times New Roman;Times;Serif" w:hAnsi="Times New Roman;Times;Serif"/>
          <w:b w:val="false"/>
          <w:i w:val="false"/>
          <w:caps w:val="false"/>
          <w:smallCaps w:val="false"/>
          <w:sz w:val="20"/>
        </w:rPr>
        <w:t>377,490 for the three and six months ended June 30, 2025, respectively, to interest expense related to the back-end fee. The back-end fee is accreted and amortized to interest expense over the term of the CRG Term Loan. Paid-in-kind interest and the accreted back-end fee are included under the line item captioned “Long-term debt”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exceptions, the Company is required to make mandatory prepayments of the CRG Term Loan with the proceeds of certain assets sales and in the event of a change of control of the Company. In addition, the Company may make voluntary prepayments of the CRG Term Loan, in whole or in part, at any time. All mandatory and voluntary prepayments of the CRG Term Loan are subject to the payment of prepayment premiums as follows: </w:t>
      </w:r>
      <w:bookmarkStart w:id="687" w:name="xdx_903_eus-gaap--DebtInstrumentInterest"/>
      <w:bookmarkEnd w:id="687"/>
      <w:r>
        <w:rPr>
          <w:rFonts w:ascii="Times New Roman;Times;Serif" w:hAnsi="Times New Roman;Times;Serif"/>
          <w:b w:val="false"/>
          <w:i w:val="false"/>
          <w:caps w:val="false"/>
          <w:smallCaps w:val="false"/>
          <w:sz w:val="20"/>
        </w:rPr>
        <w:t xml:space="preserve">(i) if prepayment occurs on or prior to the date that is one year following the applicable borrowing (the “Borrowing Date”), an amount equal to 10.0% of the aggregate outstanding principal amount of the CRG Term Loan being prepaid and (ii) if prepayment occurs one year after the applicable Borrowing Date and on or prior to two years following the applicable Borrowing Date, an amount equal to 5.0% of the aggregate outstanding principal amount of the CRG Term Loan that is being prepaid. </w:t>
      </w:r>
      <w:bookmarkStart w:id="688" w:name="xdx_905_eus-gaap--PaymentsOfDebtExtingui"/>
      <w:bookmarkEnd w:id="688"/>
      <w:r>
        <w:rPr>
          <w:rFonts w:ascii="Times New Roman;Times;Serif" w:hAnsi="Times New Roman;Times;Serif"/>
          <w:b w:val="false"/>
          <w:i w:val="false"/>
          <w:caps w:val="false"/>
          <w:smallCaps w:val="false"/>
          <w:sz w:val="20"/>
        </w:rPr>
        <w:t>No prepayment premium is due on any principal prepaid if prepayment occurs two years or more after the applicable Borrowing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current and future subsidiaries, including the Guarantors, guarantee the obligations of the Company under the CRG Term Loan Agreement. As security for their obligations under the CRG Term Loan Agreement, on the Closing Date, the Company and the Guarantors entered into a security agreement with the Agent pursuant to which the Company and the Guarantors granted to the Agent, as collateral agent for the lenders, a lien on substantially all of the Company’s and the Guarantors’ assets, including intellectual property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CRG Term Loan Agreement contains affirmative and negative covenants customary for financings of this type, including limitations on the Company’s and the Guarantors’ abilities, among other things, to incur additional debt, grant or permit additional liens, make investments and acquisitions above certain thresholds, merge or consolidate with others, dispose of assets, pay dividends and distributions and enter into affiliate transactions, in each case, subject to certain exceptions. In addition, the CRG Term Loan Agreement contains the following financial covenants requiring the Company and the Guarantors in the aggregate to maintain: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in an amount which shall exceed the greater of: (i) $</w:t>
            </w:r>
            <w:bookmarkStart w:id="689" w:name="xdx_90A_ecustom--MinimumCashBalanceValue"/>
            <w:bookmarkEnd w:id="689"/>
            <w:r>
              <w:rPr>
                <w:rFonts w:ascii="Times New Roman;Times;Serif" w:hAnsi="Times New Roman;Times;Serif"/>
                <w:b w:val="false"/>
                <w:i w:val="false"/>
                <w:caps w:val="false"/>
                <w:smallCaps w:val="false"/>
                <w:sz w:val="20"/>
              </w:rPr>
              <w:t>3.0 million and (ii) to the extent the Company has incurred certain permitted debt, the minimum cash balance, if any, required of the Company by the creditors of such permitted debt;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minimum revenue of at least: (i) $</w:t>
            </w:r>
            <w:bookmarkStart w:id="690" w:name="xdx_907_ecustom--AnnualMinimumRevenueYea"/>
            <w:bookmarkEnd w:id="690"/>
            <w:r>
              <w:rPr>
                <w:rFonts w:ascii="Times New Roman;Times;Serif" w:hAnsi="Times New Roman;Times;Serif"/>
                <w:b w:val="false"/>
                <w:i w:val="false"/>
                <w:caps w:val="false"/>
                <w:smallCaps w:val="false"/>
                <w:sz w:val="20"/>
              </w:rPr>
              <w:t>60.0 million for the twelve-month period beginning on January 1, 2024 and ending on December 31, 2024, (ii) $</w:t>
            </w:r>
            <w:bookmarkStart w:id="691" w:name="xdx_902_ecustom--AnnualMinimumRevenueYea"/>
            <w:bookmarkEnd w:id="691"/>
            <w:r>
              <w:rPr>
                <w:rFonts w:ascii="Times New Roman;Times;Serif" w:hAnsi="Times New Roman;Times;Serif"/>
                <w:b w:val="false"/>
                <w:i w:val="false"/>
                <w:caps w:val="false"/>
                <w:smallCaps w:val="false"/>
                <w:sz w:val="20"/>
              </w:rPr>
              <w:t>75.0 million for the twelve-month period beginning on January 1, 2025 and ending on December 31, 2025, (iii) $</w:t>
            </w:r>
            <w:bookmarkStart w:id="692" w:name="xdx_90A_ecustom--AnnualMinimumRevenueYea"/>
            <w:bookmarkEnd w:id="692"/>
            <w:r>
              <w:rPr>
                <w:rFonts w:ascii="Times New Roman;Times;Serif" w:hAnsi="Times New Roman;Times;Serif"/>
                <w:b w:val="false"/>
                <w:i w:val="false"/>
                <w:caps w:val="false"/>
                <w:smallCaps w:val="false"/>
                <w:sz w:val="20"/>
              </w:rPr>
              <w:t>85.0 million for the twelve-month period beginning on January 1, 2026 and ending on December 31, 2026, (iv) $</w:t>
            </w:r>
            <w:bookmarkStart w:id="693" w:name="xdx_908_ecustom--AnnualMinimumRevenueYea"/>
            <w:bookmarkEnd w:id="693"/>
            <w:r>
              <w:rPr>
                <w:rFonts w:ascii="Times New Roman;Times;Serif" w:hAnsi="Times New Roman;Times;Serif"/>
                <w:b w:val="false"/>
                <w:i w:val="false"/>
                <w:caps w:val="false"/>
                <w:smallCaps w:val="false"/>
                <w:sz w:val="20"/>
              </w:rPr>
              <w:t>95.0 million for the twelve-month period beginning on January 1, 2027 and ending on December 31, 2027, and (v) $</w:t>
            </w:r>
            <w:bookmarkStart w:id="694" w:name="xdx_902_ecustom--AnnualMinimumRevenueYea"/>
            <w:bookmarkEnd w:id="694"/>
            <w:r>
              <w:rPr>
                <w:rFonts w:ascii="Times New Roman;Times;Serif" w:hAnsi="Times New Roman;Times;Serif"/>
                <w:b w:val="false"/>
                <w:i w:val="false"/>
                <w:caps w:val="false"/>
                <w:smallCaps w:val="false"/>
                <w:sz w:val="20"/>
              </w:rPr>
              <w:t>105.0 million during each twelve-month period beginning on January 1 of a given year thereafter.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CRG Term Loan Agreement contains representations and warranties of the Company and the Guarantors customary for financings of this type, and also includes events of default customary for financings of this type, including, among other things, non-payment, inaccuracy of representations and warranties, covenant breaches, a material adverse change, bankruptcy and insolvency, material judgments and a change of control, in certain cases subject to customary periods to cure. The occurrence and continuance of an event of default could result in the acceleration of the obligations under the CRG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5" w:name="xdx_893_eus-gaap--ScheduleOfDebtTableTex"/>
      <w:bookmarkEnd w:id="695"/>
      <w:r>
        <w:rPr>
          <w:rFonts w:ascii="Times New Roman;Times;Serif" w:hAnsi="Times New Roman;Times;Serif"/>
          <w:b w:val="false"/>
          <w:i w:val="false"/>
          <w:caps w:val="false"/>
          <w:smallCaps w:val="false"/>
          <w:sz w:val="20"/>
        </w:rPr>
        <w:t>The table below presents the components of the Company’s outstanding debt for the periods presented:</w:t>
      </w:r>
    </w:p>
    <w:p>
      <w:pPr>
        <w:pStyle w:val="TextBody"/>
        <w:bidi w:val="0"/>
        <w:spacing w:before="0" w:after="0"/>
        <w:ind w:left="0" w:right="0" w:hanging="0"/>
        <w:jc w:val="both"/>
        <w:rPr>
          <w:caps w:val="false"/>
          <w:smallCaps w:val="false"/>
        </w:rPr>
      </w:pPr>
      <w:r>
        <w:rPr>
          <w:caps w:val="false"/>
          <w:smallCaps w:val="false"/>
        </w:rPr>
        <w:t> </w:t>
      </w:r>
      <w:bookmarkStart w:id="696" w:name="xdx_8B5_z8nMTM0zio5"/>
      <w:bookmarkEnd w:id="696"/>
      <w:r>
        <w:rPr>
          <w:rFonts w:ascii="Times New Roman;Times;Serif" w:hAnsi="Times New Roman;Times;Serif"/>
          <w:b w:val="false"/>
          <w:i w:val="false"/>
          <w:caps w:val="false"/>
          <w:smallCaps w:val="false"/>
          <w:sz w:val="20"/>
        </w:rPr>
        <w:t>SCHEDULE OF LONG-TERM DEBT</w:t>
      </w:r>
    </w:p>
    <w:tbl>
      <w:tblPr>
        <w:tblW w:w="6584" w:type="dxa"/>
        <w:jc w:val="left"/>
        <w:tblInd w:w="0" w:type="dxa"/>
        <w:tblLayout w:type="fixed"/>
        <w:tblCellMar>
          <w:top w:w="0" w:type="dxa"/>
          <w:left w:w="0" w:type="dxa"/>
          <w:bottom w:w="0" w:type="dxa"/>
          <w:right w:w="0" w:type="dxa"/>
        </w:tblCellMar>
      </w:tblPr>
      <w:tblGrid>
        <w:gridCol w:w="3605"/>
        <w:gridCol w:w="60"/>
        <w:gridCol w:w="140"/>
        <w:gridCol w:w="1100"/>
        <w:gridCol w:w="95"/>
        <w:gridCol w:w="60"/>
        <w:gridCol w:w="159"/>
        <w:gridCol w:w="1255"/>
        <w:gridCol w:w="110"/>
      </w:tblGrid>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97" w:name="xdx_49A_20260630_zpYrMoxTttte"/>
            <w:bookmarkEnd w:id="69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98" w:name="xdx_495_20251231_zuhcBihzXDQ5"/>
            <w:bookmarkEnd w:id="698"/>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center"/>
              <w:rPr/>
            </w:pPr>
            <w:r>
              <w:rPr/>
              <w:t> </w:t>
            </w:r>
            <w:bookmarkStart w:id="699" w:name="xdx_40A_eus-gaap--DebtInstrumentCarrying"/>
            <w:bookmarkEnd w:id="699"/>
          </w:p>
        </w:tc>
      </w:tr>
      <w:tr>
        <w:trPr/>
        <w:tc>
          <w:tcPr>
            <w:tcW w:w="3605" w:type="dxa"/>
            <w:tcBorders/>
            <w:shd w:fill="CCEEFF" w:val="clear"/>
            <w:vAlign w:val="center"/>
          </w:tcPr>
          <w:p>
            <w:pPr>
              <w:pStyle w:val="TableContents"/>
              <w:bidi w:val="0"/>
              <w:spacing w:before="0" w:after="283"/>
              <w:jc w:val="both"/>
              <w:rPr/>
            </w:pPr>
            <w:r>
              <w:rPr/>
              <w:t>CRG Term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42,750,000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42,750,000</w:t>
            </w:r>
          </w:p>
        </w:tc>
        <w:tc>
          <w:tcPr>
            <w:tcW w:w="110" w:type="dxa"/>
            <w:tcBorders/>
            <w:shd w:fill="CCEEFF" w:val="clear"/>
            <w:vAlign w:val="center"/>
          </w:tcPr>
          <w:p>
            <w:pPr>
              <w:pStyle w:val="TableContents"/>
              <w:bidi w:val="0"/>
              <w:spacing w:before="0" w:after="283"/>
              <w:jc w:val="left"/>
              <w:rPr/>
            </w:pPr>
            <w:r>
              <w:rPr/>
              <w:t> </w:t>
            </w:r>
            <w:bookmarkStart w:id="700" w:name="xdx_40C_eus-gaap--DebtInstrumentCarrying"/>
            <w:bookmarkEnd w:id="700"/>
          </w:p>
        </w:tc>
      </w:tr>
      <w:tr>
        <w:trPr/>
        <w:tc>
          <w:tcPr>
            <w:tcW w:w="3605" w:type="dxa"/>
            <w:tcBorders/>
            <w:shd w:fill="FFFFFF" w:val="clear"/>
            <w:vAlign w:val="center"/>
          </w:tcPr>
          <w:p>
            <w:pPr>
              <w:pStyle w:val="TableContents"/>
              <w:bidi w:val="0"/>
              <w:spacing w:before="0" w:after="283"/>
              <w:jc w:val="both"/>
              <w:rPr/>
            </w:pPr>
            <w:r>
              <w:rPr/>
              <w:t>Paid-in-kind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3,038,578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3,038,578</w:t>
            </w:r>
          </w:p>
        </w:tc>
        <w:tc>
          <w:tcPr>
            <w:tcW w:w="110" w:type="dxa"/>
            <w:tcBorders/>
            <w:shd w:fill="FFFFFF" w:val="clear"/>
            <w:vAlign w:val="center"/>
          </w:tcPr>
          <w:p>
            <w:pPr>
              <w:pStyle w:val="TableContents"/>
              <w:bidi w:val="0"/>
              <w:spacing w:before="0" w:after="283"/>
              <w:jc w:val="left"/>
              <w:rPr/>
            </w:pPr>
            <w:r>
              <w:rPr/>
              <w:t> </w:t>
            </w:r>
            <w:bookmarkStart w:id="701" w:name="xdx_402_eus-gaap--DebtInstrumentCarrying"/>
            <w:bookmarkEnd w:id="701"/>
          </w:p>
        </w:tc>
      </w:tr>
      <w:tr>
        <w:trPr/>
        <w:tc>
          <w:tcPr>
            <w:tcW w:w="3605" w:type="dxa"/>
            <w:tcBorders/>
            <w:shd w:fill="CCEEFF" w:val="clear"/>
            <w:vAlign w:val="center"/>
          </w:tcPr>
          <w:p>
            <w:pPr>
              <w:pStyle w:val="TableContents"/>
              <w:bidi w:val="0"/>
              <w:spacing w:before="0" w:after="283"/>
              <w:jc w:val="both"/>
              <w:rPr/>
            </w:pPr>
            <w:r>
              <w:rPr/>
              <w:t>Back-end fee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1,497,465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1,138,398</w:t>
            </w:r>
          </w:p>
        </w:tc>
        <w:tc>
          <w:tcPr>
            <w:tcW w:w="110" w:type="dxa"/>
            <w:tcBorders/>
            <w:shd w:fill="CCEEFF" w:val="clear"/>
            <w:vAlign w:val="center"/>
          </w:tcPr>
          <w:p>
            <w:pPr>
              <w:pStyle w:val="TableContents"/>
              <w:bidi w:val="0"/>
              <w:spacing w:before="0" w:after="283"/>
              <w:jc w:val="left"/>
              <w:rPr/>
            </w:pPr>
            <w:r>
              <w:rPr/>
              <w:t> </w:t>
            </w:r>
            <w:bookmarkStart w:id="702" w:name="xdx_401_eus-gaap--DebtInstrumentCarrying"/>
            <w:bookmarkEnd w:id="702"/>
          </w:p>
        </w:tc>
      </w:tr>
      <w:tr>
        <w:trPr/>
        <w:tc>
          <w:tcPr>
            <w:tcW w:w="3605" w:type="dxa"/>
            <w:tcBorders/>
            <w:shd w:fill="FFFFFF" w:val="clear"/>
            <w:vAlign w:val="center"/>
          </w:tcPr>
          <w:p>
            <w:pPr>
              <w:pStyle w:val="TableContents"/>
              <w:bidi w:val="0"/>
              <w:spacing w:before="0" w:after="283"/>
              <w:jc w:val="both"/>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47,286,043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46,926,976</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03" w:name="xdx_40F_eus-gaap--DebtInstrumentUnamorti"/>
            <w:bookmarkEnd w:id="703"/>
          </w:p>
        </w:tc>
      </w:tr>
      <w:tr>
        <w:trPr/>
        <w:tc>
          <w:tcPr>
            <w:tcW w:w="3605" w:type="dxa"/>
            <w:tcBorders/>
            <w:shd w:fill="FFFFFF" w:val="clear"/>
            <w:vAlign w:val="center"/>
          </w:tcPr>
          <w:p>
            <w:pPr>
              <w:pStyle w:val="TableContents"/>
              <w:bidi w:val="0"/>
              <w:spacing w:before="0" w:after="283"/>
              <w:jc w:val="both"/>
              <w:rPr/>
            </w:pPr>
            <w:r>
              <w:rPr/>
              <w:t>Less: unamortized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(808,956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(956,039</w:t>
            </w:r>
          </w:p>
        </w:tc>
        <w:tc>
          <w:tcPr>
            <w:tcW w:w="110" w:type="dxa"/>
            <w:tcBorders/>
            <w:shd w:fill="FFFFFF" w:val="clear"/>
            <w:vAlign w:val="center"/>
          </w:tcPr>
          <w:p>
            <w:pPr>
              <w:pStyle w:val="TableContents"/>
              <w:bidi w:val="0"/>
              <w:spacing w:before="0" w:after="283"/>
              <w:jc w:val="left"/>
              <w:rPr/>
            </w:pPr>
            <w:r>
              <w:rPr/>
              <w:t>)</w:t>
            </w:r>
          </w:p>
        </w:tc>
      </w:tr>
      <w:tr>
        <w:trPr/>
        <w:tc>
          <w:tcPr>
            <w:tcW w:w="3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04" w:name="xdx_40C_eus-gaap--LongTermDebt_iTI_mtLTD"/>
            <w:bookmarkEnd w:id="704"/>
          </w:p>
        </w:tc>
      </w:tr>
      <w:tr>
        <w:trPr/>
        <w:tc>
          <w:tcPr>
            <w:tcW w:w="3605" w:type="dxa"/>
            <w:tcBorders/>
            <w:shd w:fill="FFFFFF" w:val="clear"/>
            <w:vAlign w:val="center"/>
          </w:tcPr>
          <w:p>
            <w:pPr>
              <w:pStyle w:val="TableContents"/>
              <w:bidi w:val="0"/>
              <w:spacing w:before="0" w:after="283"/>
              <w:jc w:val="both"/>
              <w:rPr>
                <w:b/>
              </w:rPr>
            </w:pPr>
            <w:r>
              <w:rPr>
                <w:b/>
              </w:rPr>
              <w:t>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46,477,087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45,970,937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5" w:name="xdx_8AE_zbZU3IT0HmDj"/>
      <w:bookmarkEnd w:id="70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6" w:name="xdx_89A_eus-gaap--ScheduleOfMaturitiesOf"/>
      <w:bookmarkEnd w:id="706"/>
      <w:r>
        <w:rPr>
          <w:rFonts w:ascii="Times New Roman;Times;Serif" w:hAnsi="Times New Roman;Times;Serif"/>
          <w:b w:val="false"/>
          <w:i w:val="false"/>
          <w:caps w:val="false"/>
          <w:smallCaps w:val="false"/>
          <w:sz w:val="20"/>
        </w:rPr>
        <w:t>The table below presents the aggregate maturities of the Company’s outstanding debt as of June 30, 2026:</w:t>
      </w:r>
    </w:p>
    <w:p>
      <w:pPr>
        <w:pStyle w:val="TextBody"/>
        <w:bidi w:val="0"/>
        <w:spacing w:before="0" w:after="0"/>
        <w:ind w:left="0" w:right="0" w:hanging="0"/>
        <w:jc w:val="both"/>
        <w:rPr>
          <w:caps w:val="false"/>
          <w:smallCaps w:val="false"/>
        </w:rPr>
      </w:pPr>
      <w:r>
        <w:rPr>
          <w:caps w:val="false"/>
          <w:smallCaps w:val="false"/>
        </w:rPr>
        <w:t> </w:t>
      </w:r>
      <w:bookmarkStart w:id="707" w:name="xdx_8B8_zClV2deWdtxk"/>
      <w:bookmarkEnd w:id="707"/>
      <w:r>
        <w:rPr>
          <w:rFonts w:ascii="Times New Roman;Times;Serif" w:hAnsi="Times New Roman;Times;Serif"/>
          <w:b w:val="false"/>
          <w:i w:val="false"/>
          <w:caps w:val="false"/>
          <w:smallCaps w:val="false"/>
          <w:sz w:val="20"/>
        </w:rPr>
        <w:t>SCHEDULE OF MATURITIES OUTSTANDING</w:t>
      </w:r>
    </w:p>
    <w:tbl>
      <w:tblPr>
        <w:tblW w:w="3240" w:type="dxa"/>
        <w:jc w:val="left"/>
        <w:tblInd w:w="0" w:type="dxa"/>
        <w:tblLayout w:type="fixed"/>
        <w:tblCellMar>
          <w:top w:w="0" w:type="dxa"/>
          <w:left w:w="0" w:type="dxa"/>
          <w:bottom w:w="28" w:type="dxa"/>
          <w:right w:w="0" w:type="dxa"/>
        </w:tblCellMar>
      </w:tblPr>
      <w:tblGrid>
        <w:gridCol w:w="1865"/>
        <w:gridCol w:w="60"/>
        <w:gridCol w:w="140"/>
        <w:gridCol w:w="1100"/>
        <w:gridCol w:w="75"/>
      </w:tblGrid>
      <w:tr>
        <w:trPr/>
        <w:tc>
          <w:tcPr>
            <w:tcW w:w="1865" w:type="dxa"/>
            <w:tcBorders>
              <w:bottom w:val="single" w:sz="8" w:space="0" w:color="000000"/>
            </w:tcBorders>
            <w:vAlign w:val="center"/>
          </w:tcPr>
          <w:p>
            <w:pPr>
              <w:pStyle w:val="TableContents"/>
              <w:bidi w:val="0"/>
              <w:spacing w:before="0" w:after="283"/>
              <w:jc w:val="both"/>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708" w:name="xdx_491_20260630_z4nJNAkPx1Dj"/>
            <w:bookmarkEnd w:id="708"/>
          </w:p>
        </w:tc>
        <w:tc>
          <w:tcPr>
            <w:tcW w:w="12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bookmarkStart w:id="709" w:name="xdx_408_eus-gaap--LongTermDebtMaturities"/>
            <w:bookmarkEnd w:id="709"/>
          </w:p>
        </w:tc>
      </w:tr>
      <w:tr>
        <w:trPr/>
        <w:tc>
          <w:tcPr>
            <w:tcW w:w="1865" w:type="dxa"/>
            <w:tcBorders/>
            <w:shd w:fill="CCEEFF" w:val="clear"/>
            <w:tcMar>
              <w:bottom w:w="0" w:type="dxa"/>
            </w:tcMar>
            <w:vAlign w:val="center"/>
          </w:tcPr>
          <w:p>
            <w:pPr>
              <w:pStyle w:val="TableContents"/>
              <w:bidi w:val="0"/>
              <w:spacing w:before="0" w:after="283"/>
              <w:jc w:val="both"/>
              <w:rPr/>
            </w:pPr>
            <w:r>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710" w:name="xdx_40D_eus-gaap--LongTermDebtMaturities"/>
            <w:bookmarkEnd w:id="710"/>
          </w:p>
        </w:tc>
      </w:tr>
      <w:tr>
        <w:trPr/>
        <w:tc>
          <w:tcPr>
            <w:tcW w:w="1865"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711" w:name="xdx_403_eus-gaap--LongTermDebtMaturities"/>
            <w:bookmarkEnd w:id="711"/>
          </w:p>
        </w:tc>
      </w:tr>
      <w:tr>
        <w:trPr/>
        <w:tc>
          <w:tcPr>
            <w:tcW w:w="1865"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712" w:name="xdx_40B_eus-gaap--LongTermDebtMaturities"/>
            <w:bookmarkEnd w:id="712"/>
          </w:p>
        </w:tc>
      </w:tr>
      <w:tr>
        <w:trPr/>
        <w:tc>
          <w:tcPr>
            <w:tcW w:w="1865"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47,286,043</w:t>
            </w:r>
          </w:p>
        </w:tc>
        <w:tc>
          <w:tcPr>
            <w:tcW w:w="75" w:type="dxa"/>
            <w:tcBorders/>
            <w:shd w:fill="FFFFFF" w:val="clear"/>
            <w:tcMar>
              <w:bottom w:w="0" w:type="dxa"/>
            </w:tcMar>
            <w:vAlign w:val="center"/>
          </w:tcPr>
          <w:p>
            <w:pPr>
              <w:pStyle w:val="TableContents"/>
              <w:bidi w:val="0"/>
              <w:spacing w:before="0" w:after="283"/>
              <w:jc w:val="left"/>
              <w:rPr/>
            </w:pPr>
            <w:r>
              <w:rPr/>
              <w:t> </w:t>
            </w:r>
            <w:bookmarkStart w:id="713" w:name="xdx_40C_eus-gaap--LongTermDebtMaturities"/>
            <w:bookmarkEnd w:id="713"/>
          </w:p>
        </w:tc>
      </w:tr>
      <w:tr>
        <w:trPr/>
        <w:tc>
          <w:tcPr>
            <w:tcW w:w="1865"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714" w:name="xdx_402_eus-gaap--LongTermDebtMaturities"/>
            <w:bookmarkEnd w:id="714"/>
          </w:p>
        </w:tc>
      </w:tr>
      <w:tr>
        <w:trPr/>
        <w:tc>
          <w:tcPr>
            <w:tcW w:w="1865" w:type="dxa"/>
            <w:tcBorders/>
            <w:shd w:fill="FFFFFF" w:val="clear"/>
            <w:tcMar>
              <w:bottom w:w="0" w:type="dxa"/>
            </w:tcMar>
            <w:vAlign w:val="center"/>
          </w:tcPr>
          <w:p>
            <w:pPr>
              <w:pStyle w:val="TableContents"/>
              <w:bidi w:val="0"/>
              <w:spacing w:before="0" w:after="283"/>
              <w:jc w:val="both"/>
              <w:rPr/>
            </w:pPr>
            <w:r>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715" w:name="xdx_401_eus-gaap--LongTermDebtMaturities"/>
            <w:bookmarkEnd w:id="715"/>
          </w:p>
        </w:tc>
      </w:tr>
      <w:tr>
        <w:trPr/>
        <w:tc>
          <w:tcPr>
            <w:tcW w:w="1865" w:type="dxa"/>
            <w:tcBorders/>
            <w:shd w:fill="CCEEFF" w:val="clear"/>
            <w:tcMar>
              <w:bottom w:w="0" w:type="dxa"/>
            </w:tcMar>
            <w:vAlign w:val="center"/>
          </w:tcPr>
          <w:p>
            <w:pPr>
              <w:pStyle w:val="TableContents"/>
              <w:bidi w:val="0"/>
              <w:spacing w:before="0" w:after="283"/>
              <w:jc w:val="both"/>
              <w:rPr/>
            </w:pPr>
            <w:r>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716" w:name="xdx_400_eus-gaap--DebtInstrumentCarrying"/>
            <w:bookmarkEnd w:id="716"/>
          </w:p>
        </w:tc>
      </w:tr>
      <w:tr>
        <w:trPr/>
        <w:tc>
          <w:tcPr>
            <w:tcW w:w="1865" w:type="dxa"/>
            <w:tcBorders/>
            <w:shd w:fill="FFFFFF" w:val="clear"/>
            <w:tcMar>
              <w:bottom w:w="0" w:type="dxa"/>
            </w:tcMar>
            <w:vAlign w:val="center"/>
          </w:tcPr>
          <w:p>
            <w:pPr>
              <w:pStyle w:val="TableContents"/>
              <w:bidi w:val="0"/>
              <w:spacing w:before="0" w:after="283"/>
              <w:jc w:val="both"/>
              <w:rPr>
                <w:b/>
              </w:rPr>
            </w:pPr>
            <w:r>
              <w:rPr>
                <w:b/>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vAlign w:val="center"/>
          </w:tcPr>
          <w:p>
            <w:pPr>
              <w:pStyle w:val="TableContents"/>
              <w:bidi w:val="0"/>
              <w:spacing w:before="0" w:after="283"/>
              <w:jc w:val="right"/>
              <w:rPr>
                <w:b/>
              </w:rPr>
            </w:pPr>
            <w:r>
              <w:rPr>
                <w:b/>
              </w:rPr>
              <w:t>47,286,043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7" w:name="xdx_8A4_z0E4uSKQw6n4"/>
      <w:bookmarkEnd w:id="7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CRG Term Loan, the Company incurred </w:t>
      </w:r>
      <w:bookmarkStart w:id="718" w:name="xdx_905_eus-gaap--DeferredFinanceCostsGr"/>
      <w:bookmarkEnd w:id="718"/>
      <w:r>
        <w:rPr>
          <w:rFonts w:ascii="Times New Roman;Times;Serif" w:hAnsi="Times New Roman;Times;Serif"/>
          <w:b w:val="false"/>
          <w:i w:val="false"/>
          <w:caps w:val="false"/>
          <w:smallCaps w:val="false"/>
          <w:sz w:val="20"/>
        </w:rPr>
        <w:t>zero and $</w:t>
      </w:r>
      <w:bookmarkStart w:id="719" w:name="xdx_902_eus-gaap--DeferredFinanceCostsGr"/>
      <w:bookmarkEnd w:id="719"/>
      <w:r>
        <w:rPr>
          <w:rFonts w:ascii="Times New Roman;Times;Serif" w:hAnsi="Times New Roman;Times;Serif"/>
          <w:b w:val="false"/>
          <w:i w:val="false"/>
          <w:caps w:val="false"/>
          <w:smallCaps w:val="false"/>
          <w:sz w:val="20"/>
        </w:rPr>
        <w:t>228,183 of debt issuance costs during the six months ended June 30, 2026 and year ended December 31, 2025, respectively. Debt issuance costs are amortized to interest expense in the Consolidated Statements of Operations over the life of the debt to which they pertain. Debt issuance costs are included under the line item captioned “Long-term debt” in the Consolidated Balance Sheets. Amortization expense related to debt issuance costs was $</w:t>
      </w:r>
      <w:bookmarkStart w:id="720" w:name="xdx_901_eus-gaap--AmortizationOfFinancin"/>
      <w:bookmarkEnd w:id="720"/>
      <w:r>
        <w:rPr>
          <w:rFonts w:ascii="Times New Roman;Times;Serif" w:hAnsi="Times New Roman;Times;Serif"/>
          <w:b w:val="false"/>
          <w:i w:val="false"/>
          <w:caps w:val="false"/>
          <w:smallCaps w:val="false"/>
          <w:sz w:val="20"/>
        </w:rPr>
        <w:t>147,083 and $</w:t>
      </w:r>
      <w:bookmarkStart w:id="721" w:name="xdx_900_eus-gaap--AmortizationOfFinancin"/>
      <w:bookmarkEnd w:id="721"/>
      <w:r>
        <w:rPr>
          <w:rFonts w:ascii="Times New Roman;Times;Serif" w:hAnsi="Times New Roman;Times;Serif"/>
          <w:b w:val="false"/>
          <w:i w:val="false"/>
          <w:caps w:val="false"/>
          <w:smallCaps w:val="false"/>
          <w:sz w:val="20"/>
        </w:rPr>
        <w:t>132,821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2" w:name="xdx_809_eus-gaap--CommitmentsAndContinge"/>
      <w:bookmarkEnd w:id="722"/>
      <w:r>
        <w:rPr>
          <w:rFonts w:ascii="Times New Roman;Times;Serif" w:hAnsi="Times New Roman;Times;Serif"/>
          <w:b/>
          <w:i w:val="false"/>
          <w:caps w:val="false"/>
          <w:smallCaps w:val="false"/>
          <w:sz w:val="20"/>
        </w:rPr>
        <w:t xml:space="preserve">NOTE 9 — </w:t>
      </w:r>
      <w:bookmarkStart w:id="723" w:name="xdx_82F_zP3cvx8wIInf"/>
      <w:bookmarkEnd w:id="72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Agreements and Royalties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BIASURGE Advanced Surgical Solution, BIAKŌS Antimicrobial Wound Gel and BIAKŌS Antimicrobial Skin and Wound Cleanser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2019, the Company executed a license agreement with Rochal Industries, LLC (“Rochal”), a related party, pursuant to which the Company acquired an exclusive world-wide license to market, sell and further develop antimicrobial products for the prevention and treatment of microbes on the human body utilizing certain Rochal patents and pending patent applications (the “BIAKŌS License Agreement”). Currently, the products covered by the BIAKŌS License Agreement are BIASURGE Advanced Surgical Solution, BIAKŌS Antimicrobial Wound Gel and BIAKŌS Antimicrobial Skin and Wound Cleanser. All three products are 510(k) cleared.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commitments under the terms of the BIAKŌS License Agreement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pays Rochal a royalty of </w:t>
            </w:r>
            <w:bookmarkStart w:id="724" w:name="xdx_909_ecustom--RoyaltyPercentage_pid_d"/>
            <w:bookmarkEnd w:id="724"/>
            <w:r>
              <w:rPr>
                <w:rFonts w:ascii="Times New Roman;Times;Serif" w:hAnsi="Times New Roman;Times;Serif"/>
                <w:b w:val="false"/>
                <w:i w:val="false"/>
                <w:caps w:val="false"/>
                <w:smallCaps w:val="false"/>
                <w:sz w:val="20"/>
              </w:rPr>
              <w:t>2-</w:t>
            </w:r>
            <w:bookmarkStart w:id="725" w:name="xdx_905_ecustom--RoyaltyPercentage_pid_d"/>
            <w:bookmarkEnd w:id="725"/>
            <w:r>
              <w:rPr>
                <w:rFonts w:ascii="Times New Roman;Times;Serif" w:hAnsi="Times New Roman;Times;Serif"/>
                <w:b w:val="false"/>
                <w:i w:val="false"/>
                <w:caps w:val="false"/>
                <w:smallCaps w:val="false"/>
                <w:sz w:val="20"/>
              </w:rPr>
              <w:t>4% of net sales. The minimum annual royalty due to Rochal increased to $</w:t>
            </w:r>
            <w:bookmarkStart w:id="726" w:name="xdx_900_eus-gaap--PaymentsForRoyalties_c"/>
            <w:bookmarkEnd w:id="726"/>
            <w:r>
              <w:rPr>
                <w:rFonts w:ascii="Times New Roman;Times;Serif" w:hAnsi="Times New Roman;Times;Serif"/>
                <w:b w:val="false"/>
                <w:i w:val="false"/>
                <w:caps w:val="false"/>
                <w:smallCaps w:val="false"/>
                <w:sz w:val="20"/>
              </w:rPr>
              <w:t>150,000 in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additional royalties annually based on specific net profit targets from sales of the licensed products, subject to a maximum of $</w:t>
            </w:r>
            <w:bookmarkStart w:id="727" w:name="xdx_906_eus-gaap--RoyaltyExpense_c201907"/>
            <w:bookmarkEnd w:id="727"/>
            <w:r>
              <w:rPr>
                <w:rFonts w:ascii="Times New Roman;Times;Serif" w:hAnsi="Times New Roman;Times;Serif"/>
                <w:b w:val="false"/>
                <w:i w:val="false"/>
                <w:caps w:val="false"/>
                <w:smallCaps w:val="false"/>
                <w:sz w:val="20"/>
              </w:rPr>
              <w:t>1,000,000 during any calendar year.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previously terminated by the parties, the BIAKŌS License Agreement expires with the related patents in December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agreement, royalty expense, which is recorded in cost of goods sold in the accompanying Consolidated Statements of Operations, was $</w:t>
      </w:r>
      <w:bookmarkStart w:id="728" w:name="xdx_90F_eus-gaap--RoyaltyExpense_c202604"/>
      <w:bookmarkEnd w:id="728"/>
      <w:r>
        <w:rPr>
          <w:rFonts w:ascii="Times New Roman;Times;Serif" w:hAnsi="Times New Roman;Times;Serif"/>
          <w:b w:val="false"/>
          <w:i w:val="false"/>
          <w:caps w:val="false"/>
          <w:smallCaps w:val="false"/>
          <w:sz w:val="20"/>
        </w:rPr>
        <w:t>70,265 and $</w:t>
      </w:r>
      <w:bookmarkStart w:id="729" w:name="xdx_90D_eus-gaap--RoyaltyExpense_c202504"/>
      <w:bookmarkEnd w:id="729"/>
      <w:r>
        <w:rPr>
          <w:rFonts w:ascii="Times New Roman;Times;Serif" w:hAnsi="Times New Roman;Times;Serif"/>
          <w:b w:val="false"/>
          <w:i w:val="false"/>
          <w:caps w:val="false"/>
          <w:smallCaps w:val="false"/>
          <w:sz w:val="20"/>
        </w:rPr>
        <w:t>47,935 for the three months ended June 30, 2026 and 2025, respectively. For the six months ended June 30, 2026 and 2025, royalty expense under this agreement was $</w:t>
      </w:r>
      <w:bookmarkStart w:id="730" w:name="xdx_90F_eus-gaap--RoyaltyExpense_c202601"/>
      <w:bookmarkEnd w:id="730"/>
      <w:r>
        <w:rPr>
          <w:rFonts w:ascii="Times New Roman;Times;Serif" w:hAnsi="Times New Roman;Times;Serif"/>
          <w:b w:val="false"/>
          <w:i w:val="false"/>
          <w:caps w:val="false"/>
          <w:smallCaps w:val="false"/>
          <w:sz w:val="20"/>
        </w:rPr>
        <w:t>129,146 and $</w:t>
      </w:r>
      <w:bookmarkStart w:id="731" w:name="xdx_902_eus-gaap--RoyaltyExpense_c202501"/>
      <w:bookmarkEnd w:id="731"/>
      <w:r>
        <w:rPr>
          <w:rFonts w:ascii="Times New Roman;Times;Serif" w:hAnsi="Times New Roman;Times;Serif"/>
          <w:b w:val="false"/>
          <w:i w:val="false"/>
          <w:caps w:val="false"/>
          <w:smallCaps w:val="false"/>
          <w:sz w:val="20"/>
        </w:rPr>
        <w:t>85,435, respectively. The Company’s Chairman is a director of Rochal, and indirectly a significant shareholder of Rochal, and through the potential exercise of warrants, a majority shareholder of Rochal. Another one of the Company’s directors, Ann Beal Salamone, is also a director and significant shareholder of Rochal.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CuraShield Antimicrobial Barrier Film and No Sting Skin Protectant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2019, the Company executed a license agreement with Rochal pursuant to which the Company acquired an exclusive world-wide license to market, sell and further develop certain antimicrobial barrier film and skin protectant products for use in the human health care market utilizing certain Rochal patents and pending patent applications (the “ABF License Agreement”). Currently, the products covered by the ABF License Agreement are CuraShield Antimicrobial Barrier Film and a no sting skin protectant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commitments under the terms of the ABF License Agreement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pay Rochal a royalty of </w:t>
            </w:r>
            <w:bookmarkStart w:id="732" w:name="xdx_90E_ecustom--RoyaltyPercentage_pid_d"/>
            <w:bookmarkEnd w:id="732"/>
            <w:r>
              <w:rPr>
                <w:rFonts w:ascii="Times New Roman;Times;Serif" w:hAnsi="Times New Roman;Times;Serif"/>
                <w:b w:val="false"/>
                <w:i w:val="false"/>
                <w:caps w:val="false"/>
                <w:smallCaps w:val="false"/>
                <w:sz w:val="20"/>
              </w:rPr>
              <w:t>2-</w:t>
            </w:r>
            <w:bookmarkStart w:id="733" w:name="xdx_904_ecustom--RoyaltyPercentage_pid_d"/>
            <w:bookmarkEnd w:id="733"/>
            <w:r>
              <w:rPr>
                <w:rFonts w:ascii="Times New Roman;Times;Serif" w:hAnsi="Times New Roman;Times;Serif"/>
                <w:b w:val="false"/>
                <w:i w:val="false"/>
                <w:caps w:val="false"/>
                <w:smallCaps w:val="false"/>
                <w:sz w:val="20"/>
              </w:rPr>
              <w:t>4% of net sales. The minimum annual royalty due to Rochal will be $</w:t>
            </w:r>
            <w:bookmarkStart w:id="734" w:name="xdx_909_eus-gaap--RoyaltyExpense_c201910"/>
            <w:bookmarkEnd w:id="734"/>
            <w:r>
              <w:rPr>
                <w:rFonts w:ascii="Times New Roman;Times;Serif" w:hAnsi="Times New Roman;Times;Serif"/>
                <w:b w:val="false"/>
                <w:i w:val="false"/>
                <w:caps w:val="false"/>
                <w:smallCaps w:val="false"/>
                <w:sz w:val="20"/>
              </w:rPr>
              <w:t xml:space="preserve">50,000 beginning with the first full calendar year following the year in which first commercial sales of the products occur. The annual minimum royalty will increase by </w:t>
            </w:r>
            <w:bookmarkStart w:id="735" w:name="xdx_90D_ecustom--IncreaseInRoyaltyAnnual"/>
            <w:bookmarkEnd w:id="735"/>
            <w:r>
              <w:rPr>
                <w:rFonts w:ascii="Times New Roman;Times;Serif" w:hAnsi="Times New Roman;Times;Serif"/>
                <w:b w:val="false"/>
                <w:i w:val="false"/>
                <w:caps w:val="false"/>
                <w:smallCaps w:val="false"/>
                <w:sz w:val="20"/>
              </w:rPr>
              <w:t>10% each subsequent calendar year up to a maximum amount of $</w:t>
            </w:r>
            <w:bookmarkStart w:id="736" w:name="xdx_905_eus-gaap--RoyaltyExpense_c201910"/>
            <w:bookmarkEnd w:id="736"/>
            <w:r>
              <w:rPr>
                <w:rFonts w:ascii="Times New Roman;Times;Serif" w:hAnsi="Times New Roman;Times;Serif"/>
                <w:b w:val="false"/>
                <w:i w:val="false"/>
                <w:caps w:val="false"/>
                <w:smallCaps w:val="false"/>
                <w:sz w:val="20"/>
              </w:rPr>
              <w:t>75,000.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additional royalties annually based on specific net profit targets from sales of the licensed products, subject to a maximum of $</w:t>
            </w:r>
            <w:bookmarkStart w:id="737" w:name="xdx_901_eus-gaap--RoyaltyExpense_c201910"/>
            <w:bookmarkEnd w:id="737"/>
            <w:r>
              <w:rPr>
                <w:rFonts w:ascii="Times New Roman;Times;Serif" w:hAnsi="Times New Roman;Times;Serif"/>
                <w:b w:val="false"/>
                <w:i w:val="false"/>
                <w:caps w:val="false"/>
                <w:smallCaps w:val="false"/>
                <w:sz w:val="20"/>
              </w:rPr>
              <w:t>500,000 during any calendar year.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previously terminated or extended by the parties, the ABF License Agreement will terminate upon expiration of the last U.S. patent in October 2033. No commercial sales or royalties have been recognized under this agreement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Debrider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2020, the Company executed a product license agreement with Rochal, pursuant to which the Company acquired an exclusive world-wide license to market, sell and further develop a debrider for human medical use to enhance skin condition or treat or relieve skin disorders, excluding uses primarily for beauty, cosmetic, or toiletry purposes (the “Debrider License Agreement”). </w:t>
      </w:r>
      <w:bookmarkStart w:id="738" w:name="xdx_901_eus-gaap--RevenueFromContractWit"/>
      <w:bookmarkEnd w:id="738"/>
      <w:r>
        <w:rPr>
          <w:rFonts w:ascii="Times New Roman;Times;Serif" w:hAnsi="Times New Roman;Times;Serif"/>
          <w:b w:val="false"/>
          <w:i w:val="false"/>
          <w:caps w:val="false"/>
          <w:smallCaps w:val="false"/>
          <w:sz w:val="20"/>
        </w:rPr>
        <w:t>No commercial sales or royalties have been recognized under this agreement as of June 30, 2026. Unless terminated or extended by the parties, the Debrider License Agreement will expire in October 2034.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quarter ended December 31, 2025, management determined that the debrider was no longer expected to be used in the Company’s strategic plans and concluded that the carrying amount was not recoverable. An impairment charge of $</w:t>
      </w:r>
      <w:bookmarkStart w:id="739" w:name="xdx_90C_eus-gaap--OtherAssetImpairmentCh"/>
      <w:bookmarkEnd w:id="739"/>
      <w:r>
        <w:rPr>
          <w:rFonts w:ascii="Times New Roman;Times;Serif" w:hAnsi="Times New Roman;Times;Serif"/>
          <w:b w:val="false"/>
          <w:i w:val="false"/>
          <w:caps w:val="false"/>
          <w:smallCaps w:val="false"/>
          <w:sz w:val="20"/>
        </w:rPr>
        <w:t xml:space="preserve">1.2 million was recorded to reduce the carrying amount of the intangible asset to </w:t>
      </w:r>
      <w:bookmarkStart w:id="740" w:name="xdx_905_eus-gaap--IntangibleAssetsNetExc"/>
      <w:bookmarkEnd w:id="740"/>
      <w:r>
        <w:rPr>
          <w:rFonts w:ascii="Times New Roman;Times;Serif" w:hAnsi="Times New Roman;Times;Serif"/>
          <w:b w:val="false"/>
          <w:i w:val="false"/>
          <w:caps w:val="false"/>
          <w:smallCaps w:val="false"/>
          <w:sz w:val="20"/>
        </w:rPr>
        <w:t>zero at December 31, 2025. In connection with the strategic realignment to focus on the surgical business, the Company is in the process of terminating the Debrider License Agreement with Rochal in order to focus on developing and commercializing the Company’s surgical product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License and Distribution Agreement With, and Minority Investment in, BMI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BMI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entered into the BMI License Agreement, by and between the Company and BMI, a privately-held medical device company headquartered in Shannon, Co. Clare Ireland, pursuant to which the Company acquired the exclusive U.S. marketing, sales and distribution rights to OsStic Synthetic Injectable Structural Bio-Adhesive Bone Void Filler (“OsStic”), as well as an adjunctive internal fixation technology featuring novel delivery to promote targeted application of OsStic (“ARC” and together with OsStic, the “Products”), for use in the treatment of an injury caused by a traumatic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BMI License Agreement, </w:t>
      </w:r>
      <w:bookmarkStart w:id="741" w:name="xdx_901_ecustom--LicenseAgreementCommitm"/>
      <w:bookmarkEnd w:id="741"/>
      <w:r>
        <w:rPr>
          <w:rFonts w:ascii="Times New Roman;Times;Serif" w:hAnsi="Times New Roman;Times;Serif"/>
          <w:b w:val="false"/>
          <w:i w:val="false"/>
          <w:caps w:val="false"/>
          <w:smallCaps w:val="false"/>
          <w:sz w:val="20"/>
        </w:rPr>
        <w:t>the Company was appointed by BMI as the exclusive distributor to promote, market, offer to sell, transfer, distribute and sell the Products for trauma indications inside the United States and its territories for an initial five-year term, which term may be automatically renewed for successive two-year periods at the Company’s discretion, provided that the Company is in compliance with its obligations thereunder. From January 16, 2025 until October 13, 2025, the Company had an option to negotiate exclusive distribution rights for the Products in additional fields and/or additional territories on substantially the same terms as those set forth in the BMI License Agreement. On June 18, 2025, pursuant to the BMI License Agreement, the Company exercised its option for exclusive distribution rights of the BMI Products for sports medicine, spine, arthroplasty, and craniomaxillofacial indications within the United States and its territories. On October 1, 2025, the Company and BMI entered into a first amendment to the BMI License Agreement to extend the option period through May 31, 2026 to provide more time to negotiate and finalize the terms of the additional fields in the contract territory. On May 6, 2026, the Company and BMI entered into a second amendment to the BMI License Agreement to further extend the option period through January 31, 2027.</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BMI License Agreement requires that the Company pay BMI royalties of </w:t>
      </w:r>
      <w:bookmarkStart w:id="742" w:name="xdx_904_ecustom--RoyaltiesPercentage_pid"/>
      <w:bookmarkEnd w:id="742"/>
      <w:r>
        <w:rPr>
          <w:rFonts w:ascii="Times New Roman;Times;Serif" w:hAnsi="Times New Roman;Times;Serif"/>
          <w:b w:val="false"/>
          <w:i w:val="false"/>
          <w:caps w:val="false"/>
          <w:smallCaps w:val="false"/>
          <w:sz w:val="20"/>
        </w:rPr>
        <w:t>3% of OsStic net sales (as defined in the BMI License Agreement). Pursuant to the BMI License Agreement, the Company and BMI agreed to negotiate the applicable percentage of net sales for ARC at a future date. The BMI License Agreement also requires the Company to pay BMI annual minimum royalty payments of $</w:t>
      </w:r>
      <w:bookmarkStart w:id="743" w:name="xdx_90C_ecustom--RoyaltyPaymentsDueYearO"/>
      <w:bookmarkEnd w:id="743"/>
      <w:r>
        <w:rPr>
          <w:rFonts w:ascii="Times New Roman;Times;Serif" w:hAnsi="Times New Roman;Times;Serif"/>
          <w:b w:val="false"/>
          <w:i w:val="false"/>
          <w:caps w:val="false"/>
          <w:smallCaps w:val="false"/>
          <w:sz w:val="20"/>
        </w:rPr>
        <w:t>100,000, $</w:t>
      </w:r>
      <w:bookmarkStart w:id="744" w:name="xdx_90B_ecustom--RoyaltyPaymentsDueYearT"/>
      <w:bookmarkEnd w:id="744"/>
      <w:r>
        <w:rPr>
          <w:rFonts w:ascii="Times New Roman;Times;Serif" w:hAnsi="Times New Roman;Times;Serif"/>
          <w:b w:val="false"/>
          <w:i w:val="false"/>
          <w:caps w:val="false"/>
          <w:smallCaps w:val="false"/>
          <w:sz w:val="20"/>
        </w:rPr>
        <w:t>200,000, and $</w:t>
      </w:r>
      <w:bookmarkStart w:id="745" w:name="xdx_902_ecustom--RoyaltyPaymentsDueYearT"/>
      <w:bookmarkEnd w:id="745"/>
      <w:r>
        <w:rPr>
          <w:rFonts w:ascii="Times New Roman;Times;Serif" w:hAnsi="Times New Roman;Times;Serif"/>
          <w:b w:val="false"/>
          <w:i w:val="false"/>
          <w:caps w:val="false"/>
          <w:smallCaps w:val="false"/>
          <w:sz w:val="20"/>
        </w:rPr>
        <w:t xml:space="preserve">300,000 for the first, second and third years, respectively, following the receipt of first regulatory approval for the marketing and sale of a product. </w:t>
      </w:r>
      <w:bookmarkStart w:id="746" w:name="xdx_90A_eus-gaap--PaymentsForRoyalties_d"/>
      <w:bookmarkEnd w:id="746"/>
      <w:r>
        <w:rPr>
          <w:rFonts w:ascii="Times New Roman;Times;Serif" w:hAnsi="Times New Roman;Times;Serif"/>
          <w:b w:val="false"/>
          <w:i w:val="false"/>
          <w:caps w:val="false"/>
          <w:smallCaps w:val="false"/>
          <w:sz w:val="20"/>
        </w:rPr>
        <w:t>No royalties have been paid under this agreement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BMI License Agreement, on January 16, 2025, the Company entered into the Subscription Agreement. See Note 6 for more information regarding the BMI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Applied Asset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the Company closed the acquisition of assets from The Hymed Group Corporation and Applied Nutritionals, LLC (the “Applied Asset Purchase”) for an initial aggregate purchase price of $</w:t>
      </w:r>
      <w:bookmarkStart w:id="747" w:name="xdx_907_eus-gaap--PaymentsToAcquireProdu"/>
      <w:bookmarkEnd w:id="747"/>
      <w:r>
        <w:rPr>
          <w:rFonts w:ascii="Times New Roman;Times;Serif" w:hAnsi="Times New Roman;Times;Serif"/>
          <w:b w:val="false"/>
          <w:i w:val="false"/>
          <w:caps w:val="false"/>
          <w:smallCaps w:val="false"/>
          <w:sz w:val="20"/>
        </w:rPr>
        <w:t>15.25 million, consisting of $</w:t>
      </w:r>
      <w:bookmarkStart w:id="748" w:name="xdx_905_eus-gaap--AssetAcquisitionConsid"/>
      <w:bookmarkEnd w:id="748"/>
      <w:r>
        <w:rPr>
          <w:rFonts w:ascii="Times New Roman;Times;Serif" w:hAnsi="Times New Roman;Times;Serif"/>
          <w:b w:val="false"/>
          <w:i w:val="false"/>
          <w:caps w:val="false"/>
          <w:smallCaps w:val="false"/>
          <w:sz w:val="20"/>
        </w:rPr>
        <w:t xml:space="preserve">9.75 million in cash and </w:t>
      </w:r>
      <w:bookmarkStart w:id="749" w:name="xdx_90E_eus-gaap--StockIssuedDuringPerio"/>
      <w:bookmarkEnd w:id="749"/>
      <w:r>
        <w:rPr>
          <w:rFonts w:ascii="Times New Roman;Times;Serif" w:hAnsi="Times New Roman;Times;Serif"/>
          <w:b w:val="false"/>
          <w:i w:val="false"/>
          <w:caps w:val="false"/>
          <w:smallCaps w:val="false"/>
          <w:sz w:val="20"/>
        </w:rPr>
        <w:t>73,809 shares of the Company’s common stock with an agreed upon value of $</w:t>
      </w:r>
      <w:bookmarkStart w:id="750" w:name="xdx_90E_eus-gaap--StockIssuedDuringPerio"/>
      <w:bookmarkEnd w:id="750"/>
      <w:r>
        <w:rPr>
          <w:rFonts w:ascii="Times New Roman;Times;Serif" w:hAnsi="Times New Roman;Times;Serif"/>
          <w:b w:val="false"/>
          <w:i w:val="false"/>
          <w:caps w:val="false"/>
          <w:smallCaps w:val="false"/>
          <w:sz w:val="20"/>
        </w:rPr>
        <w:t>3.0 million, and $</w:t>
      </w:r>
      <w:bookmarkStart w:id="751" w:name="xdx_909_eus-gaap--OtherLoansPayable_iI_p"/>
      <w:bookmarkEnd w:id="751"/>
      <w:r>
        <w:rPr>
          <w:rFonts w:ascii="Times New Roman;Times;Serif" w:hAnsi="Times New Roman;Times;Serif"/>
          <w:b w:val="false"/>
          <w:i w:val="false"/>
          <w:caps w:val="false"/>
          <w:smallCaps w:val="false"/>
          <w:sz w:val="20"/>
        </w:rPr>
        <w:t>2.5 million in cash to be paid in four equal installments of $</w:t>
      </w:r>
      <w:bookmarkStart w:id="752" w:name="xdx_900_eus-gaap--PaymentsToAcquireOther"/>
      <w:bookmarkEnd w:id="752"/>
      <w:r>
        <w:rPr>
          <w:rFonts w:ascii="Times New Roman;Times;Serif" w:hAnsi="Times New Roman;Times;Serif"/>
          <w:b w:val="false"/>
          <w:i w:val="false"/>
          <w:caps w:val="false"/>
          <w:smallCaps w:val="false"/>
          <w:sz w:val="20"/>
        </w:rPr>
        <w:t xml:space="preserve">625,000 on each of the next four anniversaries of the closing date. </w:t>
      </w:r>
      <w:bookmarkStart w:id="753" w:name="xdx_909_ecustom--AssetPurchasePeriodicPa"/>
      <w:bookmarkEnd w:id="753"/>
      <w:r>
        <w:rPr>
          <w:rFonts w:ascii="Times New Roman;Times;Serif" w:hAnsi="Times New Roman;Times;Serif"/>
          <w:b w:val="false"/>
          <w:i w:val="false"/>
          <w:caps w:val="false"/>
          <w:smallCaps w:val="false"/>
          <w:sz w:val="20"/>
        </w:rPr>
        <w:t>The first, second and third of four installment payments of $</w:t>
      </w:r>
      <w:bookmarkStart w:id="754" w:name="xdx_900_eus-gaap--PaymentsToAcquireOther"/>
      <w:bookmarkStart w:id="755" w:name="xdx_905_eus-gaap--PaymentsToAcquireOther"/>
      <w:bookmarkStart w:id="756" w:name="xdx_90A_eus-gaap--PaymentsToAcquireOther"/>
      <w:bookmarkEnd w:id="754"/>
      <w:bookmarkEnd w:id="755"/>
      <w:bookmarkEnd w:id="756"/>
      <w:r>
        <w:rPr>
          <w:rFonts w:ascii="Times New Roman;Times;Serif" w:hAnsi="Times New Roman;Times;Serif"/>
          <w:b w:val="false"/>
          <w:i w:val="false"/>
          <w:caps w:val="false"/>
          <w:smallCaps w:val="false"/>
          <w:sz w:val="20"/>
        </w:rPr>
        <w:t>625,000 were made in August 2024,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consideration noted above, the terms of the asset purchase agreement provide that the sellers party thereto are entitled to receive up to an additional $</w:t>
      </w:r>
      <w:bookmarkStart w:id="757" w:name="xdx_90C_ecustom--EarnoutPayable_iI_pn4n6"/>
      <w:bookmarkEnd w:id="757"/>
      <w:r>
        <w:rPr>
          <w:rFonts w:ascii="Times New Roman;Times;Serif" w:hAnsi="Times New Roman;Times;Serif"/>
          <w:b w:val="false"/>
          <w:i w:val="false"/>
          <w:caps w:val="false"/>
          <w:smallCaps w:val="false"/>
          <w:sz w:val="20"/>
        </w:rPr>
        <w:t>10.0 million (the “Applied Earnout”), which is payable to the sellers in cash, upon the achievement of certain performance thresholds relating to our collections from net sales of a collagen-based product currently under development. Upon expiration of the seventh anniversary of the closing of the Applied Asset Purchase, to the extent the sellers have not earned the entirety of the Applied Earnout, the Company shall pay the sellers a pro-rata amount of the Applied Earnout based on collections from net sales of the product, with such amount to be due credited against any Applied Earnout payments already made by the Company (the “True-Up Payment”). The Applied Earnout, minus the True-Up Payment and any Applied Earnout payments already made by us, may be earned at any point in the future, including after the True-Up Payment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Applied Asset Purchase, effective August 1, 2023, the Company entered into a professional services agreement (the “Petito Services Agreement”) with Dr. Petito (the “Owner”), pursuant to which the Owner, as an independent contractor, agreed to provide certain services to the Company, including, among other things, assisting with the development of products already in development and assisting with research, development, formulation, invention and manufacturing of any future products (the “Petito Services”). </w:t>
      </w:r>
      <w:bookmarkStart w:id="758" w:name="xdx_90F_ecustom--PurchaseAgreementDescri"/>
      <w:bookmarkEnd w:id="758"/>
      <w:r>
        <w:rPr>
          <w:rFonts w:ascii="Times New Roman;Times;Serif" w:hAnsi="Times New Roman;Times;Serif"/>
          <w:b w:val="false"/>
          <w:i w:val="false"/>
          <w:caps w:val="false"/>
          <w:smallCaps w:val="false"/>
          <w:sz w:val="20"/>
        </w:rPr>
        <w:t>As consideration for the Petito Services, the Owner was entitled to receive: (i) a base salary of $12,000 per month during the term of the Petito Services Agreement, (ii) a royalty payment equal to 3% of the actual collections from net sales of certain products the Owner develops or codevelops that reach commercialization, (iii) a royalty payment equal to 5% for the first $50.0 million in aggregate collections from net sales of certain future products and a royalty payment of 2.5% on aggregate collections from net sales of certain future products on any amounts exceeding $50.0 million but up to $100.0 million, (iv) $500,000 in cash in the event that 510(k) clearance is issued for any future product accepted by the Company and (v) $1.0 million in cash in the event that a U.S. patent is issued for a certain product; provided that with respect to the incentive payments described in (iv) and (v) of the foregoing, the Owner shall not earn more than $2.5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Petito Services Agreement had an initial term of three years and was subject to automatic successive one-month renewals unless earlier terminated in accordance with its terms. The Petito Services Agreement was terminable upon the Owner’s death or disability or by the Company or the Owner “For Cause” (as defined in the Petito Services Agreement); provided, however, that the base salary described in (i) of the foregoing paragraph survives termination through the three-year initial term and the royalty payments and incentive payments described in (ii)-(v) of the foregoing paragraph survive termination of the Petito Services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Applied Asset Purchase, the Company worked to advance the collagen product related to the incentive payment contemplated under the asset purchase agreement. Despite such efforts, the Company did not receive 510(k) clearance, a U.S. patent was not issued, and no net sales were collected for this product contemplated under the asset purchase agreement and the Petito Services Agreement. After a review of the status of such initiatives, related expenses and the substantial additional expense that would need to be incurred for an uncertain result, and in light of the Company’s refocus in strategy to prioritize expanding existing product platforms, in March 2026, the Company determined not to renew the Petito Services Agreement. On April 20, 2026, the Company delivered written notice to Dr. Petito that the Petito Services Agreement would not be renewed beyond its initial term. The Petito Services Agreement terminated effective August 1, 2026 pursuant to its terms. Since the contingent consideration liability relating to the Applied Asset Purchase is associated with the Petito Services Agreement, the Company determined that the thresholds necessary to trigger a payment on the earnout would not be met and reduced the contingent consideration liability to zero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20, 2023, the Company signed an exclusive license agreement with Tufts University (“Tufts”) to develop and commercialize patented technology covering </w:t>
      </w:r>
      <w:bookmarkStart w:id="759" w:name="xdx_902_ecustom--NumberOfUniqueCollagenP"/>
      <w:bookmarkEnd w:id="759"/>
      <w:r>
        <w:rPr>
          <w:rFonts w:ascii="Times New Roman;Times;Serif" w:hAnsi="Times New Roman;Times;Serif"/>
          <w:b w:val="false"/>
          <w:i w:val="false"/>
          <w:caps w:val="false"/>
          <w:smallCaps w:val="false"/>
          <w:sz w:val="20"/>
        </w:rPr>
        <w:t xml:space="preserve">18 unique collagen peptides. As part of this agreement, the Company formed a new subsidiary, Sanara Collagen Peptides, LLC (“SCP”), and issued </w:t>
      </w:r>
      <w:bookmarkStart w:id="760" w:name="xdx_903_ecustom--OutstandingUnitsPercent"/>
      <w:bookmarkEnd w:id="760"/>
      <w:r>
        <w:rPr>
          <w:rFonts w:ascii="Times New Roman;Times;Serif" w:hAnsi="Times New Roman;Times;Serif"/>
          <w:b w:val="false"/>
          <w:i w:val="false"/>
          <w:caps w:val="false"/>
          <w:smallCaps w:val="false"/>
          <w:sz w:val="20"/>
        </w:rPr>
        <w:t xml:space="preserve">10% of SCP’s outstanding units to Tufts. SCP had exclusive rights to develop and commercialize new products based on the licensed patents and patents pending. SCP would pay royalties to Tufts based on net sales of licensed products and technologies. Under the exclusive license agreement, royalties would be calculated at a rate of </w:t>
      </w:r>
      <w:bookmarkStart w:id="761" w:name="xdx_900_ecustom--RoyaltyExpensePercentag"/>
      <w:bookmarkEnd w:id="761"/>
      <w:r>
        <w:rPr>
          <w:rFonts w:ascii="Times New Roman;Times;Serif" w:hAnsi="Times New Roman;Times;Serif"/>
          <w:b w:val="false"/>
          <w:i w:val="false"/>
          <w:caps w:val="false"/>
          <w:smallCaps w:val="false"/>
          <w:sz w:val="20"/>
        </w:rPr>
        <w:t xml:space="preserve">1.5% or </w:t>
      </w:r>
      <w:bookmarkStart w:id="762" w:name="xdx_908_ecustom--RoyaltyExpensePercentag"/>
      <w:bookmarkEnd w:id="762"/>
      <w:r>
        <w:rPr>
          <w:rFonts w:ascii="Times New Roman;Times;Serif" w:hAnsi="Times New Roman;Times;Serif"/>
          <w:b w:val="false"/>
          <w:i w:val="false"/>
          <w:caps w:val="false"/>
          <w:smallCaps w:val="false"/>
          <w:sz w:val="20"/>
        </w:rPr>
        <w:t>3.0%, depending on the type of product or technology developed. SCP would pay Tufts a minimum annual royalty of $</w:t>
      </w:r>
      <w:bookmarkStart w:id="763" w:name="xdx_904_eus-gaap--RoyaltyExpense_c202312"/>
      <w:bookmarkEnd w:id="763"/>
      <w:r>
        <w:rPr>
          <w:rFonts w:ascii="Times New Roman;Times;Serif" w:hAnsi="Times New Roman;Times;Serif"/>
          <w:b w:val="false"/>
          <w:i w:val="false"/>
          <w:caps w:val="false"/>
          <w:smallCaps w:val="false"/>
          <w:sz w:val="20"/>
        </w:rPr>
        <w:t>50,000 on January 1 of the year following the first anniversary of the first commercial sale of the licensed products or technologies. SCP would pay Tufts a $</w:t>
      </w:r>
      <w:bookmarkStart w:id="764" w:name="xdx_90F_eus-gaap--RoyaltyExpense_c202312"/>
      <w:bookmarkEnd w:id="764"/>
      <w:r>
        <w:rPr>
          <w:rFonts w:ascii="Times New Roman;Times;Serif" w:hAnsi="Times New Roman;Times;Serif"/>
          <w:b w:val="false"/>
          <w:i w:val="false"/>
          <w:caps w:val="false"/>
          <w:smallCaps w:val="false"/>
          <w:sz w:val="20"/>
        </w:rPr>
        <w:t xml:space="preserve">100,000 minimum annual royalty on January 1 of each subsequent year during the royalty term specified in the exclusive license agreement. There were no material accounting impacts and </w:t>
      </w:r>
      <w:bookmarkStart w:id="765" w:name="xdx_90A_eus-gaap--PaymentsForRoyalties_d"/>
      <w:bookmarkEnd w:id="765"/>
      <w:r>
        <w:rPr>
          <w:rFonts w:ascii="Times New Roman;Times;Serif" w:hAnsi="Times New Roman;Times;Serif"/>
          <w:b w:val="false"/>
          <w:i w:val="false"/>
          <w:caps w:val="false"/>
          <w:smallCaps w:val="false"/>
          <w:sz w:val="20"/>
        </w:rPr>
        <w:t>no royalties paid related to this arrangement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shift in strategy to focus on developing and commercializing the Company’s surgical product portfolio, on March 12, 2026, the Company delivered written notice to Tufts that terminated the exclusive license agreement, effective April 20, 2026. In July 2026, the Company dissolved SCP and eliminated the </w:t>
      </w:r>
      <w:bookmarkStart w:id="766" w:name="xdx_90E_eus-gaap--EquityMethodInvestment"/>
      <w:bookmarkEnd w:id="766"/>
      <w:r>
        <w:rPr>
          <w:rFonts w:ascii="Times New Roman;Times;Serif" w:hAnsi="Times New Roman;Times;Serif"/>
          <w:b w:val="false"/>
          <w:i w:val="false"/>
          <w:caps w:val="false"/>
          <w:smallCaps w:val="false"/>
          <w:sz w:val="20"/>
        </w:rPr>
        <w:t>10% equity ownership interest in SCP held by Tufts.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7" w:name="xdx_80D_eus-gaap--StockholdersEquityNote"/>
      <w:bookmarkEnd w:id="767"/>
      <w:r>
        <w:rPr>
          <w:rFonts w:ascii="Times New Roman;Times;Serif" w:hAnsi="Times New Roman;Times;Serif"/>
          <w:b/>
          <w:i w:val="false"/>
          <w:caps w:val="false"/>
          <w:smallCaps w:val="false"/>
          <w:sz w:val="20"/>
        </w:rPr>
        <w:t xml:space="preserve">NOTE 10 — </w:t>
      </w:r>
      <w:bookmarkStart w:id="768" w:name="xdx_829_zKVbCkiYPRQ4"/>
      <w:bookmarkEnd w:id="768"/>
      <w:r>
        <w:rPr>
          <w:rFonts w:ascii="Times New Roman;Times;Serif" w:hAnsi="Times New Roman;Times;Serif"/>
          <w:b/>
          <w:i w:val="false"/>
          <w:caps w:val="false"/>
          <w:smallCaps w:val="false"/>
          <w:sz w:val="20"/>
        </w:rPr>
        <w:t>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Annual Meeting of Shareholders held in July 2020, the Company approved the Restated 2014 Omnibus Long Term Incentive Plan (the “2014 LTIP”) in which the Company’s directors, officers, employees and consultants are eligible to participate. The 2014 LTIP terminated as to future awards on September 3, 2024. Previously granted awards under the 2014 LTIP will remain outstanding until they expire by their terms or under the terms of the 2014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12, 2024, the Company’s shareholders approved the 2024 Omnibus Long-Term Incentive Plan (the “2024 LTIP”), which went into effect upon shareholder approval. The maximum number of shares of the Company’s common stock that may be delivered pursuant to awards granted under the 2024 LTIP is </w:t>
      </w:r>
      <w:bookmarkStart w:id="769" w:name="xdx_901_eus-gaap--ShareBasedCompensation"/>
      <w:bookmarkEnd w:id="769"/>
      <w:r>
        <w:rPr>
          <w:rFonts w:ascii="Times New Roman;Times;Serif" w:hAnsi="Times New Roman;Times;Serif"/>
          <w:b w:val="false"/>
          <w:i w:val="false"/>
          <w:caps w:val="false"/>
          <w:smallCaps w:val="false"/>
          <w:sz w:val="20"/>
        </w:rPr>
        <w:t xml:space="preserve">1,000,000, subject to increase by any awards under the 2014 LTIP (i) that were outstanding on or after June 12, 2024, and that, on or after such date, are forfeited, expire or are canceled, and (ii) any shares subject to awards relating to common stock under the 2014 LTIP that are settled in cash on or after June 12, 2024 (the “Prior LTIP Awards”). The 2024 LTIP also provides that, to the extent an award under the 2024 LTIP or a Prior LTIP Award is forfeited, expires or is canceled, in whole or in part, the shares subject to such forfeited, expired or canceled award may again be awarded under the 2024 LTIP. For the six months ended June 30, 2026, a total of </w:t>
      </w:r>
      <w:bookmarkStart w:id="770" w:name="xdx_904_eus-gaap--ShareBasedCompensation"/>
      <w:bookmarkEnd w:id="770"/>
      <w:r>
        <w:rPr>
          <w:rFonts w:ascii="Times New Roman;Times;Serif" w:hAnsi="Times New Roman;Times;Serif"/>
          <w:b w:val="false"/>
          <w:i w:val="false"/>
          <w:caps w:val="false"/>
          <w:smallCaps w:val="false"/>
          <w:sz w:val="20"/>
        </w:rPr>
        <w:t xml:space="preserve">272,668 shares had been issued under the 2024 LTIP, net of </w:t>
      </w:r>
      <w:bookmarkStart w:id="771" w:name="xdx_90E_eus-gaap--StockIssuedDuringPerio"/>
      <w:bookmarkEnd w:id="771"/>
      <w:r>
        <w:rPr>
          <w:rFonts w:ascii="Times New Roman;Times;Serif" w:hAnsi="Times New Roman;Times;Serif"/>
          <w:b w:val="false"/>
          <w:i w:val="false"/>
          <w:caps w:val="false"/>
          <w:smallCaps w:val="false"/>
          <w:sz w:val="20"/>
        </w:rPr>
        <w:t xml:space="preserve">257 shares forfeited under the 2014 LTIP and </w:t>
      </w:r>
      <w:bookmarkStart w:id="772" w:name="xdx_905_eus-gaap--StockIssuedDuringPerio"/>
      <w:bookmarkEnd w:id="772"/>
      <w:r>
        <w:rPr>
          <w:rFonts w:ascii="Times New Roman;Times;Serif" w:hAnsi="Times New Roman;Times;Serif"/>
          <w:b w:val="false"/>
          <w:i w:val="false"/>
          <w:caps w:val="false"/>
          <w:smallCaps w:val="false"/>
          <w:sz w:val="20"/>
        </w:rPr>
        <w:t xml:space="preserve">6,997 shares forfeited under the 2024 LTIP. As of June 30, 2026, there were </w:t>
      </w:r>
      <w:bookmarkStart w:id="773" w:name="xdx_90F_eus-gaap--CommonStockCapitalShar"/>
      <w:bookmarkEnd w:id="773"/>
      <w:r>
        <w:rPr>
          <w:rFonts w:ascii="Times New Roman;Times;Serif" w:hAnsi="Times New Roman;Times;Serif"/>
          <w:b w:val="false"/>
          <w:i w:val="false"/>
          <w:caps w:val="false"/>
          <w:smallCaps w:val="false"/>
          <w:sz w:val="20"/>
        </w:rPr>
        <w:t>531,635 shares available for issuance under the 2024 LTIP.</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issued restricted stock awards under the 2024 LTIP which are subject to certain vesting provisions and other terms and conditions set forth in each recipient’s respective restricted stock agreement. The Company issued </w:t>
      </w:r>
      <w:bookmarkStart w:id="774" w:name="xdx_904_eus-gaap--StockIssuedDuringPerio"/>
      <w:bookmarkEnd w:id="774"/>
      <w:r>
        <w:rPr>
          <w:rFonts w:ascii="Times New Roman;Times;Serif" w:hAnsi="Times New Roman;Times;Serif"/>
          <w:b w:val="false"/>
          <w:i w:val="false"/>
          <w:caps w:val="false"/>
          <w:smallCaps w:val="false"/>
          <w:sz w:val="20"/>
        </w:rPr>
        <w:t>272,668 shares under the 2024 LTIP, net of forfeitures, of restricted common stock to employees, directors and certain advisors of the Company during the six months ended June 30, 2026. The fair value of these awards was $</w:t>
      </w:r>
      <w:bookmarkStart w:id="775" w:name="xdx_901_eus-gaap--StockIssuedDuringPerio"/>
      <w:bookmarkEnd w:id="775"/>
      <w:r>
        <w:rPr>
          <w:rFonts w:ascii="Times New Roman;Times;Serif" w:hAnsi="Times New Roman;Times;Serif"/>
          <w:b w:val="false"/>
          <w:i w:val="false"/>
          <w:caps w:val="false"/>
          <w:smallCaps w:val="false"/>
          <w:sz w:val="20"/>
        </w:rPr>
        <w:t>5,165,475 based on the closing price of the Company’s common stock on the respective grant dates, which will be recognized as compensation expense on a straight-line basis over the vesting period of the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was $</w:t>
      </w:r>
      <w:bookmarkStart w:id="776" w:name="xdx_902_ecustom--SharebasedCompensationE"/>
      <w:bookmarkEnd w:id="776"/>
      <w:r>
        <w:rPr>
          <w:rFonts w:ascii="Times New Roman;Times;Serif" w:hAnsi="Times New Roman;Times;Serif"/>
          <w:b w:val="false"/>
          <w:i w:val="false"/>
          <w:caps w:val="false"/>
          <w:smallCaps w:val="false"/>
          <w:sz w:val="20"/>
        </w:rPr>
        <w:t>1,496,310 and $</w:t>
      </w:r>
      <w:bookmarkStart w:id="777" w:name="xdx_909_ecustom--SharebasedCompensationE"/>
      <w:bookmarkEnd w:id="777"/>
      <w:r>
        <w:rPr>
          <w:rFonts w:ascii="Times New Roman;Times;Serif" w:hAnsi="Times New Roman;Times;Serif"/>
          <w:b w:val="false"/>
          <w:i w:val="false"/>
          <w:caps w:val="false"/>
          <w:smallCaps w:val="false"/>
          <w:sz w:val="20"/>
        </w:rPr>
        <w:t>1,409,045 during the three months ended June 30, 2026 and 2025, respectively, and $</w:t>
      </w:r>
      <w:bookmarkStart w:id="778" w:name="xdx_900_ecustom--SharebasedCompensationE"/>
      <w:bookmarkEnd w:id="778"/>
      <w:r>
        <w:rPr>
          <w:rFonts w:ascii="Times New Roman;Times;Serif" w:hAnsi="Times New Roman;Times;Serif"/>
          <w:b w:val="false"/>
          <w:i w:val="false"/>
          <w:caps w:val="false"/>
          <w:smallCaps w:val="false"/>
          <w:sz w:val="20"/>
        </w:rPr>
        <w:t>2,524,645 and $</w:t>
      </w:r>
      <w:bookmarkStart w:id="779" w:name="xdx_904_ecustom--SharebasedCompensationE"/>
      <w:bookmarkEnd w:id="779"/>
      <w:r>
        <w:rPr>
          <w:rFonts w:ascii="Times New Roman;Times;Serif" w:hAnsi="Times New Roman;Times;Serif"/>
          <w:b w:val="false"/>
          <w:i w:val="false"/>
          <w:caps w:val="false"/>
          <w:smallCaps w:val="false"/>
          <w:sz w:val="20"/>
        </w:rPr>
        <w:t>2,584,541 during the six months ended June 30, 2026 and 2025, respectively, and is recorded in operating expenses in the accompanying Consolidated Statements of Operations. Share-based compensation expense related to THP was $</w:t>
      </w:r>
      <w:bookmarkStart w:id="780" w:name="xdx_90A_ecustom--ShareBasedCompensationF"/>
      <w:bookmarkEnd w:id="780"/>
      <w:r>
        <w:rPr>
          <w:rFonts w:ascii="Times New Roman;Times;Serif" w:hAnsi="Times New Roman;Times;Serif"/>
          <w:b w:val="false"/>
          <w:i w:val="false"/>
          <w:caps w:val="false"/>
          <w:smallCaps w:val="false"/>
          <w:sz w:val="20"/>
        </w:rPr>
        <w:t>26,394 and $</w:t>
      </w:r>
      <w:bookmarkStart w:id="781" w:name="xdx_905_ecustom--ShareBasedCompensationF"/>
      <w:bookmarkEnd w:id="781"/>
      <w:r>
        <w:rPr>
          <w:rFonts w:ascii="Times New Roman;Times;Serif" w:hAnsi="Times New Roman;Times;Serif"/>
          <w:b w:val="false"/>
          <w:i w:val="false"/>
          <w:caps w:val="false"/>
          <w:smallCaps w:val="false"/>
          <w:sz w:val="20"/>
        </w:rPr>
        <w:t>155,802 during the three and six months ended June 30, 2025, respectively, and is recorded in discontinued operations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there was $</w:t>
      </w:r>
      <w:bookmarkStart w:id="782" w:name="xdx_901_eus-gaap--EmployeeServiceShareBa"/>
      <w:bookmarkEnd w:id="782"/>
      <w:r>
        <w:rPr>
          <w:rFonts w:ascii="Times New Roman;Times;Serif" w:hAnsi="Times New Roman;Times;Serif"/>
          <w:b w:val="false"/>
          <w:i w:val="false"/>
          <w:caps w:val="false"/>
          <w:smallCaps w:val="false"/>
          <w:sz w:val="20"/>
        </w:rPr>
        <w:t xml:space="preserve">8,333,709 of total unrecognized share-based compensation expense related to unvested share-based equity awards. Unrecognized share-based compensation expense is expected to be recognized over a weighted-average period of </w:t>
      </w:r>
      <w:bookmarkStart w:id="783" w:name="xdx_908_eus-gaap--EmployeeServiceShareBa"/>
      <w:bookmarkEnd w:id="783"/>
      <w:r>
        <w:rPr>
          <w:rFonts w:ascii="Times New Roman;Times;Serif" w:hAnsi="Times New Roman;Times;Serif"/>
          <w:b w:val="false"/>
          <w:i w:val="false"/>
          <w:caps w:val="false"/>
          <w:smallCaps w:val="false"/>
          <w:sz w:val="20"/>
        </w:rPr>
        <w:t>2.0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84" w:name="xdx_89D_eus-gaap--ScheduleOfSharebasedCo"/>
      <w:bookmarkEnd w:id="784"/>
      <w:r>
        <w:rPr>
          <w:rFonts w:ascii="Times New Roman;Times;Serif" w:hAnsi="Times New Roman;Times;Serif"/>
          <w:b w:val="false"/>
          <w:i w:val="false"/>
          <w:caps w:val="false"/>
          <w:smallCaps w:val="false"/>
          <w:sz w:val="20"/>
        </w:rPr>
        <w:t>A summary of restricted stock activity is presented below:</w:t>
      </w:r>
    </w:p>
    <w:p>
      <w:pPr>
        <w:pStyle w:val="TextBody"/>
        <w:bidi w:val="0"/>
        <w:spacing w:before="0" w:after="0"/>
        <w:ind w:left="0" w:right="0" w:hanging="0"/>
        <w:jc w:val="both"/>
        <w:rPr>
          <w:caps w:val="false"/>
          <w:smallCaps w:val="false"/>
        </w:rPr>
      </w:pPr>
      <w:r>
        <w:rPr>
          <w:caps w:val="false"/>
          <w:smallCaps w:val="false"/>
        </w:rPr>
        <w:t> </w:t>
      </w:r>
      <w:bookmarkStart w:id="785" w:name="xdx_8BA_zjwL0qjcT8N6"/>
      <w:bookmarkEnd w:id="785"/>
      <w:r>
        <w:rPr>
          <w:rFonts w:ascii="Times New Roman;Times;Serif" w:hAnsi="Times New Roman;Times;Serif"/>
          <w:b w:val="false"/>
          <w:i w:val="false"/>
          <w:caps w:val="false"/>
          <w:smallCaps w:val="false"/>
          <w:sz w:val="20"/>
        </w:rPr>
        <w:t>SUMMARY OF RESTRICTED STOCK ACTIVITY</w:t>
      </w:r>
    </w:p>
    <w:tbl>
      <w:tblPr>
        <w:tblW w:w="5462" w:type="dxa"/>
        <w:jc w:val="left"/>
        <w:tblInd w:w="0" w:type="dxa"/>
        <w:tblLayout w:type="fixed"/>
        <w:tblCellMar>
          <w:top w:w="0" w:type="dxa"/>
          <w:left w:w="0" w:type="dxa"/>
          <w:bottom w:w="0" w:type="dxa"/>
          <w:right w:w="0" w:type="dxa"/>
        </w:tblCellMar>
      </w:tblPr>
      <w:tblGrid>
        <w:gridCol w:w="3200"/>
        <w:gridCol w:w="60"/>
        <w:gridCol w:w="64"/>
        <w:gridCol w:w="933"/>
        <w:gridCol w:w="101"/>
        <w:gridCol w:w="64"/>
        <w:gridCol w:w="193"/>
        <w:gridCol w:w="772"/>
        <w:gridCol w:w="75"/>
      </w:tblGrid>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2026</w:t>
            </w:r>
          </w:p>
        </w:tc>
        <w:tc>
          <w:tcPr>
            <w:tcW w:w="75" w:type="dxa"/>
            <w:tcBorders/>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01"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center"/>
              <w:rPr/>
            </w:pPr>
            <w:r>
              <w:rPr/>
              <w:t> </w:t>
            </w:r>
          </w:p>
        </w:tc>
      </w:tr>
      <w:tr>
        <w:trPr/>
        <w:tc>
          <w:tcPr>
            <w:tcW w:w="3200" w:type="dxa"/>
            <w:tcBorders/>
            <w:shd w:fill="CCEEFF" w:val="clear"/>
            <w:vAlign w:val="center"/>
          </w:tcPr>
          <w:p>
            <w:pPr>
              <w:pStyle w:val="TableContents"/>
              <w:bidi w:val="0"/>
              <w:spacing w:before="0" w:after="283"/>
              <w:jc w:val="both"/>
              <w:rPr/>
            </w:pPr>
            <w:r>
              <w:rPr/>
              <w:t>Nonvested at beginning of period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86" w:name="xdx_981_eus-gaap--ShareBasedCompensation"/>
            <w:bookmarkEnd w:id="786"/>
          </w:p>
        </w:tc>
        <w:tc>
          <w:tcPr>
            <w:tcW w:w="933" w:type="dxa"/>
            <w:tcBorders/>
            <w:shd w:fill="CCEEFF" w:val="clear"/>
            <w:vAlign w:val="center"/>
          </w:tcPr>
          <w:p>
            <w:pPr>
              <w:pStyle w:val="TableContents"/>
              <w:bidi w:val="0"/>
              <w:spacing w:before="0" w:after="283"/>
              <w:jc w:val="right"/>
              <w:rPr/>
            </w:pPr>
            <w:r>
              <w:rPr/>
              <w:t>257,989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787" w:name="xdx_988_eus-gaap--ShareBasedCompensation"/>
            <w:bookmarkEnd w:id="787"/>
          </w:p>
        </w:tc>
        <w:tc>
          <w:tcPr>
            <w:tcW w:w="772" w:type="dxa"/>
            <w:tcBorders/>
            <w:shd w:fill="CCEEFF" w:val="clear"/>
            <w:vAlign w:val="center"/>
          </w:tcPr>
          <w:p>
            <w:pPr>
              <w:pStyle w:val="TableContents"/>
              <w:bidi w:val="0"/>
              <w:spacing w:before="0" w:after="283"/>
              <w:jc w:val="right"/>
              <w:rPr/>
            </w:pPr>
            <w:r>
              <w:rPr/>
              <w:t>34.99</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788" w:name="xdx_98C_eus-gaap--ShareBasedCompensation"/>
            <w:bookmarkEnd w:id="788"/>
          </w:p>
        </w:tc>
        <w:tc>
          <w:tcPr>
            <w:tcW w:w="933" w:type="dxa"/>
            <w:tcBorders/>
            <w:shd w:fill="FFFFFF" w:val="clear"/>
            <w:vAlign w:val="center"/>
          </w:tcPr>
          <w:p>
            <w:pPr>
              <w:pStyle w:val="TableContents"/>
              <w:bidi w:val="0"/>
              <w:spacing w:before="0" w:after="283"/>
              <w:jc w:val="right"/>
              <w:rPr/>
            </w:pPr>
            <w:r>
              <w:rPr/>
              <w:t>279,922</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bookmarkStart w:id="789" w:name="xdx_982_eus-gaap--ShareBasedCompensation"/>
            <w:bookmarkEnd w:id="789"/>
          </w:p>
        </w:tc>
        <w:tc>
          <w:tcPr>
            <w:tcW w:w="772" w:type="dxa"/>
            <w:tcBorders/>
            <w:shd w:fill="FFFFFF" w:val="clear"/>
            <w:vAlign w:val="center"/>
          </w:tcPr>
          <w:p>
            <w:pPr>
              <w:pStyle w:val="TableContents"/>
              <w:bidi w:val="0"/>
              <w:spacing w:before="0" w:after="283"/>
              <w:jc w:val="right"/>
              <w:rPr/>
            </w:pPr>
            <w:r>
              <w:rPr/>
              <w:t>19.13</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90" w:name="xdx_982_eus-gaap--ShareBasedCompensation"/>
            <w:bookmarkEnd w:id="790"/>
          </w:p>
        </w:tc>
        <w:tc>
          <w:tcPr>
            <w:tcW w:w="933" w:type="dxa"/>
            <w:tcBorders/>
            <w:shd w:fill="CCEEFF" w:val="clear"/>
            <w:vAlign w:val="center"/>
          </w:tcPr>
          <w:p>
            <w:pPr>
              <w:pStyle w:val="TableContents"/>
              <w:bidi w:val="0"/>
              <w:spacing w:before="0" w:after="283"/>
              <w:jc w:val="right"/>
              <w:rPr/>
            </w:pPr>
            <w:r>
              <w:rPr/>
              <w:t>(119,447</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bookmarkStart w:id="791" w:name="xdx_98D_eus-gaap--ShareBasedCompensation"/>
            <w:bookmarkEnd w:id="791"/>
          </w:p>
        </w:tc>
        <w:tc>
          <w:tcPr>
            <w:tcW w:w="772" w:type="dxa"/>
            <w:tcBorders/>
            <w:shd w:fill="CCEEFF" w:val="clear"/>
            <w:vAlign w:val="center"/>
          </w:tcPr>
          <w:p>
            <w:pPr>
              <w:pStyle w:val="TableContents"/>
              <w:bidi w:val="0"/>
              <w:spacing w:before="0" w:after="283"/>
              <w:jc w:val="right"/>
              <w:rPr/>
            </w:pPr>
            <w:r>
              <w:rPr/>
              <w:t>34.52</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92" w:name="xdx_981_eus-gaap--ShareBasedCompensation"/>
            <w:bookmarkEnd w:id="792"/>
          </w:p>
        </w:tc>
        <w:tc>
          <w:tcPr>
            <w:tcW w:w="933" w:type="dxa"/>
            <w:tcBorders>
              <w:bottom w:val="single" w:sz="8" w:space="0" w:color="000000"/>
            </w:tcBorders>
            <w:shd w:fill="FFFFFF" w:val="clear"/>
            <w:tcMar>
              <w:bottom w:w="28" w:type="dxa"/>
            </w:tcMar>
            <w:vAlign w:val="center"/>
          </w:tcPr>
          <w:p>
            <w:pPr>
              <w:pStyle w:val="TableContents"/>
              <w:bidi w:val="0"/>
              <w:spacing w:before="0" w:after="283"/>
              <w:jc w:val="right"/>
              <w:rPr/>
            </w:pPr>
            <w:r>
              <w:rPr/>
              <w:t>(7,254</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93" w:name="xdx_98D_eus-gaap--ShareBasedCompensation"/>
            <w:bookmarkEnd w:id="793"/>
          </w:p>
        </w:tc>
        <w:tc>
          <w:tcPr>
            <w:tcW w:w="772" w:type="dxa"/>
            <w:tcBorders>
              <w:bottom w:val="single" w:sz="8" w:space="0" w:color="000000"/>
            </w:tcBorders>
            <w:shd w:fill="FFFFFF" w:val="clear"/>
            <w:tcMar>
              <w:bottom w:w="28" w:type="dxa"/>
            </w:tcMar>
            <w:vAlign w:val="center"/>
          </w:tcPr>
          <w:p>
            <w:pPr>
              <w:pStyle w:val="TableContents"/>
              <w:bidi w:val="0"/>
              <w:spacing w:before="0" w:after="283"/>
              <w:jc w:val="right"/>
              <w:rPr/>
            </w:pPr>
            <w:r>
              <w:rPr/>
              <w:t>26.21</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b/>
              </w:rPr>
            </w:pPr>
            <w:r>
              <w:rPr>
                <w:b/>
              </w:rPr>
              <w:t>Nonvested at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94" w:name="xdx_986_eus-gaap--ShareBasedCompensation"/>
            <w:bookmarkEnd w:id="794"/>
          </w:p>
        </w:tc>
        <w:tc>
          <w:tcPr>
            <w:tcW w:w="9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411,210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95" w:name="xdx_98F_eus-gaap--ShareBasedCompensation"/>
            <w:bookmarkEnd w:id="795"/>
          </w:p>
        </w:tc>
        <w:tc>
          <w:tcPr>
            <w:tcW w:w="772" w:type="dxa"/>
            <w:tcBorders>
              <w:bottom w:val="double" w:sz="6" w:space="0" w:color="000000"/>
            </w:tcBorders>
            <w:shd w:fill="CCEEFF" w:val="clear"/>
            <w:tcMar>
              <w:bottom w:w="28" w:type="dxa"/>
            </w:tcMar>
            <w:vAlign w:val="center"/>
          </w:tcPr>
          <w:p>
            <w:pPr>
              <w:pStyle w:val="TableContents"/>
              <w:bidi w:val="0"/>
              <w:spacing w:before="0" w:after="283"/>
              <w:jc w:val="right"/>
              <w:rPr/>
            </w:pPr>
            <w:r>
              <w:rPr/>
              <w:t>24.49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96" w:name="xdx_8AA_zSowQ4Zb5nf8"/>
      <w:bookmarkEnd w:id="79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7" w:name="xdx_895_eus-gaap--ScheduleOfShareBasedCo"/>
      <w:bookmarkEnd w:id="797"/>
      <w:r>
        <w:rPr>
          <w:rFonts w:ascii="Times New Roman;Times;Serif" w:hAnsi="Times New Roman;Times;Serif"/>
          <w:b w:val="false"/>
          <w:i w:val="false"/>
          <w:caps w:val="false"/>
          <w:smallCaps w:val="false"/>
          <w:sz w:val="20"/>
        </w:rPr>
        <w:t>A summary of the status of outstanding stock options and changes is presented below:</w:t>
      </w:r>
    </w:p>
    <w:p>
      <w:pPr>
        <w:pStyle w:val="TextBody"/>
        <w:bidi w:val="0"/>
        <w:spacing w:before="0" w:after="0"/>
        <w:ind w:left="0" w:right="0" w:hanging="0"/>
        <w:jc w:val="both"/>
        <w:rPr>
          <w:caps w:val="false"/>
          <w:smallCaps w:val="false"/>
        </w:rPr>
      </w:pPr>
      <w:r>
        <w:rPr>
          <w:caps w:val="false"/>
          <w:smallCaps w:val="false"/>
        </w:rPr>
        <w:t> </w:t>
      </w:r>
      <w:bookmarkStart w:id="798" w:name="xdx_8B3_z4hep5VWmNUj"/>
      <w:bookmarkEnd w:id="798"/>
      <w:r>
        <w:rPr>
          <w:rFonts w:ascii="Times New Roman;Times;Serif" w:hAnsi="Times New Roman;Times;Serif"/>
          <w:b w:val="false"/>
          <w:i w:val="false"/>
          <w:caps w:val="false"/>
          <w:smallCaps w:val="false"/>
          <w:sz w:val="20"/>
        </w:rPr>
        <w:t>SCHEDULE OF STOCK OPTION ACTIVITY</w:t>
      </w:r>
    </w:p>
    <w:tbl>
      <w:tblPr>
        <w:tblW w:w="8774" w:type="dxa"/>
        <w:jc w:val="left"/>
        <w:tblInd w:w="0" w:type="dxa"/>
        <w:tblLayout w:type="fixed"/>
        <w:tblCellMar>
          <w:top w:w="0" w:type="dxa"/>
          <w:left w:w="0" w:type="dxa"/>
          <w:bottom w:w="0" w:type="dxa"/>
          <w:right w:w="0" w:type="dxa"/>
        </w:tblCellMar>
      </w:tblPr>
      <w:tblGrid>
        <w:gridCol w:w="3335"/>
        <w:gridCol w:w="60"/>
        <w:gridCol w:w="66"/>
        <w:gridCol w:w="749"/>
        <w:gridCol w:w="60"/>
        <w:gridCol w:w="60"/>
        <w:gridCol w:w="319"/>
        <w:gridCol w:w="1276"/>
        <w:gridCol w:w="60"/>
        <w:gridCol w:w="60"/>
        <w:gridCol w:w="251"/>
        <w:gridCol w:w="1343"/>
        <w:gridCol w:w="60"/>
        <w:gridCol w:w="60"/>
        <w:gridCol w:w="140"/>
        <w:gridCol w:w="800"/>
        <w:gridCol w:w="75"/>
      </w:tblGrid>
      <w:tr>
        <w:trPr/>
        <w:tc>
          <w:tcPr>
            <w:tcW w:w="3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244" w:type="dxa"/>
            <w:gridSpan w:val="10"/>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Life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center"/>
              <w:rPr/>
            </w:pPr>
            <w:r>
              <w:rPr/>
              <w:t> </w:t>
            </w:r>
          </w:p>
        </w:tc>
      </w:tr>
      <w:tr>
        <w:trPr/>
        <w:tc>
          <w:tcPr>
            <w:tcW w:w="3335" w:type="dxa"/>
            <w:tcBorders/>
            <w:shd w:fill="CCEEFF" w:val="clear"/>
            <w:vAlign w:val="center"/>
          </w:tcPr>
          <w:p>
            <w:pPr>
              <w:pStyle w:val="TableContents"/>
              <w:bidi w:val="0"/>
              <w:spacing w:before="0" w:after="283"/>
              <w:jc w:val="both"/>
              <w:rPr/>
            </w:pPr>
            <w:r>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799" w:name="xdx_98B_eus-gaap--ShareBasedCompensation"/>
            <w:bookmarkEnd w:id="799"/>
          </w:p>
        </w:tc>
        <w:tc>
          <w:tcPr>
            <w:tcW w:w="749" w:type="dxa"/>
            <w:tcBorders/>
            <w:shd w:fill="CCEEFF" w:val="clear"/>
            <w:vAlign w:val="center"/>
          </w:tcPr>
          <w:p>
            <w:pPr>
              <w:pStyle w:val="TableContents"/>
              <w:bidi w:val="0"/>
              <w:spacing w:before="0" w:after="283"/>
              <w:jc w:val="right"/>
              <w:rPr/>
            </w:pPr>
            <w:r>
              <w:rPr/>
              <w:t>10,218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bookmarkStart w:id="800" w:name="xdx_98C_eus-gaap--ShareBasedCompensation"/>
            <w:bookmarkEnd w:id="800"/>
          </w:p>
        </w:tc>
        <w:tc>
          <w:tcPr>
            <w:tcW w:w="1276" w:type="dxa"/>
            <w:tcBorders/>
            <w:shd w:fill="CCEEFF" w:val="clear"/>
            <w:vAlign w:val="center"/>
          </w:tcPr>
          <w:p>
            <w:pPr>
              <w:pStyle w:val="TableContents"/>
              <w:bidi w:val="0"/>
              <w:spacing w:before="0" w:after="283"/>
              <w:jc w:val="right"/>
              <w:rPr/>
            </w:pPr>
            <w:r>
              <w:rPr/>
              <w:t>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both"/>
              <w:rPr/>
            </w:pPr>
            <w:r>
              <w:rPr/>
              <w:t>Granted or assumed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801" w:name="xdx_988_eus-gaap--ShareBasedCompensation"/>
            <w:bookmarkEnd w:id="801"/>
          </w:p>
        </w:tc>
        <w:tc>
          <w:tcPr>
            <w:tcW w:w="7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bookmarkStart w:id="802" w:name="xdx_98D_eus-gaap--ShareBasedCompensation"/>
            <w:bookmarkEnd w:id="802"/>
          </w:p>
        </w:tc>
        <w:tc>
          <w:tcPr>
            <w:tcW w:w="12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both"/>
              <w:rPr/>
            </w:pPr>
            <w:r>
              <w:rPr/>
              <w:t>Exercised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03" w:name="xdx_98D_eus-gaap--StockIssuedDuringPerio"/>
            <w:bookmarkEnd w:id="803"/>
          </w:p>
        </w:tc>
        <w:tc>
          <w:tcPr>
            <w:tcW w:w="7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bookmarkStart w:id="804" w:name="xdx_983_eus-gaap--ShareBasedCompensation"/>
            <w:bookmarkEnd w:id="804"/>
          </w:p>
        </w:tc>
        <w:tc>
          <w:tcPr>
            <w:tcW w:w="12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805" w:name="xdx_98D_eus-gaap--ShareBasedCompensation"/>
            <w:bookmarkEnd w:id="805"/>
          </w:p>
        </w:tc>
        <w:tc>
          <w:tcPr>
            <w:tcW w:w="7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bookmarkStart w:id="806" w:name="xdx_98D_eus-gaap--ShareBasedCompensation"/>
            <w:bookmarkEnd w:id="806"/>
          </w:p>
        </w:tc>
        <w:tc>
          <w:tcPr>
            <w:tcW w:w="12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both"/>
              <w:rPr/>
            </w:pPr>
            <w:r>
              <w:rPr/>
              <w:t>Expired</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7" w:name="xdx_988_eus-gaap--ShareBasedCompensation"/>
            <w:bookmarkEnd w:id="807"/>
          </w:p>
        </w:tc>
        <w:tc>
          <w:tcPr>
            <w:tcW w:w="7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bookmarkStart w:id="808" w:name="xdx_985_eus-gaap--ShareBasedCompensation"/>
            <w:bookmarkEnd w:id="808"/>
          </w:p>
        </w:tc>
        <w:tc>
          <w:tcPr>
            <w:tcW w:w="12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both"/>
              <w:rPr/>
            </w:pPr>
            <w:r>
              <w:rPr/>
              <w:t>Outstanding at June 30, 2026</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09" w:name="xdx_98B_eus-gaap--ShareBasedCompensation"/>
            <w:bookmarkEnd w:id="809"/>
          </w:p>
        </w:tc>
        <w:tc>
          <w:tcPr>
            <w:tcW w:w="749" w:type="dxa"/>
            <w:tcBorders>
              <w:bottom w:val="double" w:sz="6" w:space="0" w:color="000000"/>
            </w:tcBorders>
            <w:shd w:fill="FFFFFF" w:val="clear"/>
            <w:tcMar>
              <w:bottom w:w="28" w:type="dxa"/>
            </w:tcMar>
            <w:vAlign w:val="center"/>
          </w:tcPr>
          <w:p>
            <w:pPr>
              <w:pStyle w:val="TableContents"/>
              <w:bidi w:val="0"/>
              <w:spacing w:before="0" w:after="283"/>
              <w:jc w:val="right"/>
              <w:rPr/>
            </w:pPr>
            <w:r>
              <w:rPr/>
              <w:t>10,218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w:t>
            </w:r>
            <w:bookmarkStart w:id="810" w:name="xdx_988_eus-gaap--ShareBasedCompensation"/>
            <w:bookmarkEnd w:id="810"/>
          </w:p>
        </w:tc>
        <w:tc>
          <w:tcPr>
            <w:tcW w:w="1276" w:type="dxa"/>
            <w:tcBorders/>
            <w:shd w:fill="FFFFFF" w:val="clear"/>
            <w:vAlign w:val="center"/>
          </w:tcPr>
          <w:p>
            <w:pPr>
              <w:pStyle w:val="TableContents"/>
              <w:bidi w:val="0"/>
              <w:spacing w:before="0" w:after="283"/>
              <w:jc w:val="right"/>
              <w:rPr/>
            </w:pPr>
            <w:r>
              <w:rPr/>
              <w:t>10.13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bookmarkStart w:id="811" w:name="xdx_90A_eus-gaap--SharebasedCompensation"/>
            <w:bookmarkEnd w:id="811"/>
            <w:r>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12" w:name="xdx_98E_eus-gaap--ShareBasedCompensation"/>
            <w:bookmarkEnd w:id="81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137,492</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both"/>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13" w:name="xdx_98D_eus-gaap--ShareBasedCompensation"/>
            <w:bookmarkEnd w:id="813"/>
          </w:p>
        </w:tc>
        <w:tc>
          <w:tcPr>
            <w:tcW w:w="749" w:type="dxa"/>
            <w:tcBorders>
              <w:bottom w:val="double" w:sz="6" w:space="0" w:color="000000"/>
            </w:tcBorders>
            <w:shd w:fill="FFFFFF" w:val="clear"/>
            <w:tcMar>
              <w:bottom w:w="28" w:type="dxa"/>
            </w:tcMar>
            <w:vAlign w:val="center"/>
          </w:tcPr>
          <w:p>
            <w:pPr>
              <w:pStyle w:val="TableContents"/>
              <w:bidi w:val="0"/>
              <w:spacing w:before="0" w:after="283"/>
              <w:jc w:val="right"/>
              <w:rPr/>
            </w:pPr>
            <w:r>
              <w:rPr/>
              <w:t>10,218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w:t>
            </w:r>
            <w:bookmarkStart w:id="814" w:name="xdx_984_eus-gaap--ShareBasedCompensation"/>
            <w:bookmarkEnd w:id="814"/>
          </w:p>
        </w:tc>
        <w:tc>
          <w:tcPr>
            <w:tcW w:w="1276" w:type="dxa"/>
            <w:tcBorders/>
            <w:shd w:fill="FFFFFF" w:val="clear"/>
            <w:vAlign w:val="center"/>
          </w:tcPr>
          <w:p>
            <w:pPr>
              <w:pStyle w:val="TableContents"/>
              <w:bidi w:val="0"/>
              <w:spacing w:before="0" w:after="283"/>
              <w:jc w:val="right"/>
              <w:rPr/>
            </w:pPr>
            <w:r>
              <w:rPr/>
              <w:t>10.13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bookmarkStart w:id="815" w:name="xdx_901_eus-gaap--SharebasedCompensation"/>
            <w:bookmarkEnd w:id="815"/>
            <w:r>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16" w:name="xdx_98B_eus-gaap--SharebasedCompensation"/>
            <w:bookmarkEnd w:id="816"/>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137,492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7" w:name="xdx_8AB_zG8iPzJ0Qwn8"/>
      <w:bookmarkEnd w:id="81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8" w:name="xdx_806_eus-gaap--RelatedPartyTransactio"/>
      <w:bookmarkEnd w:id="818"/>
      <w:r>
        <w:rPr>
          <w:rFonts w:ascii="Times New Roman;Times;Serif" w:hAnsi="Times New Roman;Times;Serif"/>
          <w:b/>
          <w:i w:val="false"/>
          <w:caps w:val="false"/>
          <w:smallCaps w:val="false"/>
          <w:sz w:val="20"/>
        </w:rPr>
        <w:t xml:space="preserve">NOTE 11 — </w:t>
      </w:r>
      <w:bookmarkStart w:id="819" w:name="xdx_828_zWhcARMvUmC"/>
      <w:bookmarkEnd w:id="819"/>
      <w:r>
        <w:rPr>
          <w:rFonts w:ascii="Times New Roman;Times;Serif" w:hAnsi="Times New Roman;Times;Serif"/>
          <w:b/>
          <w:i w:val="false"/>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2019, the Company executed a license agreement with Rochal, a related party, whereby the Company acquired an exclusive world-wide license to market, sell and further develop antimicrobial products for the prevention and treatment of microbes on the human body utilizing certain Rochal patents and pending patent applications. Currently, the products covered by the BIAKŌS License Agreement are BIASURGE Advanced Surgical Solution, BIAKŌS Antimicrobial Wound Gel and BIAKŌS Antimicrobial Skin and Wound Cleanser. Each of these products are 510(k) cleared. Ronald T. Nixon, the Company’s Chairman, is a director of Rochal, and indirectly a significant shareholder of Rochal, and through the potential exercise of warrants, a majority shareholder of Rochal. Another one of the Company’s directors, Ann Beal Salamone, is also a director and significant shareholder of Rochal.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2019, the Company executed the ABF License Agreement with Rochal whereby the Company acquired an exclusive world-wide license to market, sell and further develop certain antimicrobial barrier film and skin protectant products for use in the human health care market utilizing certain Rochal patents and pending patent applications. Currently, the products covered by the ABF License Agreement are CuraShield Antimicrobial Barrier Film and a no sting skin protectant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2020, the Company executed a product license agreement with Rochal, whereby the Company acquired an exclusive world-wide license to market, sell and further develop a debrider for human medical use to enhance skin condition or treat or relieve skin disorders, excluding uses primarily for beauty, cosmetic, or toiletry purposes. In the quarter ended December 31, 2025, management determined that the debrider was no longer expected to be used in the Company’s strategic plans and concluded that the carrying amount was not recoverable. An impairment charge of $</w:t>
      </w:r>
      <w:bookmarkStart w:id="820" w:name="xdx_908_eus-gaap--OtherAssetImpairmentCh"/>
      <w:bookmarkEnd w:id="820"/>
      <w:r>
        <w:rPr>
          <w:rFonts w:ascii="Times New Roman;Times;Serif" w:hAnsi="Times New Roman;Times;Serif"/>
          <w:b w:val="false"/>
          <w:i w:val="false"/>
          <w:caps w:val="false"/>
          <w:smallCaps w:val="false"/>
          <w:sz w:val="20"/>
        </w:rPr>
        <w:t xml:space="preserve">1.2 million was recorded to reduce the carrying amount of the intangible asset to </w:t>
      </w:r>
      <w:bookmarkStart w:id="821" w:name="xdx_90C_eus-gaap--IntangibleAssetsNetExc"/>
      <w:bookmarkEnd w:id="821"/>
      <w:r>
        <w:rPr>
          <w:rFonts w:ascii="Times New Roman;Times;Serif" w:hAnsi="Times New Roman;Times;Serif"/>
          <w:b w:val="false"/>
          <w:i w:val="false"/>
          <w:caps w:val="false"/>
          <w:smallCaps w:val="false"/>
          <w:sz w:val="20"/>
        </w:rPr>
        <w:t>zero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9 for more information on these product license agreements.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Rochal asset purchase in July 2021, the Company entered into a consulting agreement with Ann Beal Salamone pursuant to which Ms. Salamone agreed to provide the Company with consulting services with respect to, among other things, writing new patents, conducting patent intelligence, and participating in certain grant and contract reporting. In consideration of the consulting services provided to the Company, Ms. Salamone is entitled to receive an annual consulting fee of $</w:t>
      </w:r>
      <w:bookmarkStart w:id="822" w:name="xdx_90E_eus-gaap--ProfessionalFees_c2021"/>
      <w:bookmarkEnd w:id="822"/>
      <w:r>
        <w:rPr>
          <w:rFonts w:ascii="Times New Roman;Times;Serif" w:hAnsi="Times New Roman;Times;Serif"/>
          <w:b w:val="false"/>
          <w:i w:val="false"/>
          <w:caps w:val="false"/>
          <w:smallCaps w:val="false"/>
          <w:sz w:val="20"/>
        </w:rPr>
        <w:t xml:space="preserve">177,697, with payments to be issued once per month. </w:t>
      </w:r>
      <w:bookmarkStart w:id="823" w:name="xdx_907_eus-gaap--IntercompanyAgreements"/>
      <w:bookmarkEnd w:id="823"/>
      <w:r>
        <w:rPr>
          <w:rFonts w:ascii="Times New Roman;Times;Serif" w:hAnsi="Times New Roman;Times;Serif"/>
          <w:b w:val="false"/>
          <w:i w:val="false"/>
          <w:caps w:val="false"/>
          <w:smallCaps w:val="false"/>
          <w:sz w:val="20"/>
        </w:rPr>
        <w:t>The consulting agreement had an initial term of three years, unless earlier terminated by the Company, and was subject to renewal. Effective July 13, 2024, the consulting agreement with Ms. Salamone was amended to provide that the initial term shall be automatically renewed for successive one-year terms for up to three successive years unless earlier terminated by either party without cause at any time, provided that the terminating party provides 90 days advance written notice of termination. Ms. Salamone is a director of the Company and is a significant shareholder and the current Chair of the board of directors of Rochal.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Catalyst Transaction Advisory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entered into a Transaction Advisory Services Agreement (the “Catalyst Services Agreement”) effective March 1, 2023 with Catalyst, a related party. Pursuant to the Catalyst Services Agreement, Catalyst, by and through its directors, officers, employees and affiliates that are not simultaneously serving as directors, officers or employees of the Company (collectively, the “Covered Persons”), agreed to perform certain transaction advisory, business and organizational strategy, finance, marketing, operational and strategic planning, relationship access and corporate development services for the Company in connection with any merger, acquisition, recapitalization, divestiture, financing, refinancing, or other similar transaction in which the Company may be, or may consider becoming, involved, and any such additional services as mutually agreed upon in writing by and between Catalyst and the Company (the “Catalyst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Catalyst Services Agreement, the Company agreed to reimburse Catalyst for (i) compensation actually paid by Catalyst to any of the Covered Persons at a rate no more than a rate consistent with industry practice for the performance of services similar to the Catalyst Services, as documented in reasonably sufficient detail, and (ii) all reasonable out-of-pocket costs and expenses payable to unaffiliated third parties, as documented in customary expense reports, as each of (i) and (ii) is incurred in connection with the Catalyst Services rendered under the Catalyst Services Agreement, with all reimbursements being contingent upon the prior approval of the Audit Committee of the Company’s Board of Directors. Pursuant to the Catalyst Services Agreement, costs incurred were $</w:t>
      </w:r>
      <w:bookmarkStart w:id="824" w:name="xdx_903_eus-gaap--CostsAndExpensesRelate"/>
      <w:bookmarkEnd w:id="824"/>
      <w:r>
        <w:rPr>
          <w:rFonts w:ascii="Times New Roman;Times;Serif" w:hAnsi="Times New Roman;Times;Serif"/>
          <w:b w:val="false"/>
          <w:i w:val="false"/>
          <w:caps w:val="false"/>
          <w:smallCaps w:val="false"/>
          <w:sz w:val="20"/>
        </w:rPr>
        <w:t>653 and $</w:t>
      </w:r>
      <w:bookmarkStart w:id="825" w:name="xdx_90A_eus-gaap--CostsAndExpensesRelate"/>
      <w:bookmarkEnd w:id="825"/>
      <w:r>
        <w:rPr>
          <w:rFonts w:ascii="Times New Roman;Times;Serif" w:hAnsi="Times New Roman;Times;Serif"/>
          <w:b w:val="false"/>
          <w:i w:val="false"/>
          <w:caps w:val="false"/>
          <w:smallCaps w:val="false"/>
          <w:sz w:val="20"/>
        </w:rPr>
        <w:t>10,000 for the three months ended June 30, 2026 and 2025, respectively, and $</w:t>
      </w:r>
      <w:bookmarkStart w:id="826" w:name="xdx_902_eus-gaap--CostsAndExpensesRelate"/>
      <w:bookmarkEnd w:id="826"/>
      <w:r>
        <w:rPr>
          <w:rFonts w:ascii="Times New Roman;Times;Serif" w:hAnsi="Times New Roman;Times;Serif"/>
          <w:b w:val="false"/>
          <w:i w:val="false"/>
          <w:caps w:val="false"/>
          <w:smallCaps w:val="false"/>
          <w:sz w:val="20"/>
        </w:rPr>
        <w:t>1,503 and $</w:t>
      </w:r>
      <w:bookmarkStart w:id="827" w:name="xdx_90A_eus-gaap--CostsAndExpensesRelate"/>
      <w:bookmarkEnd w:id="827"/>
      <w:r>
        <w:rPr>
          <w:rFonts w:ascii="Times New Roman;Times;Serif" w:hAnsi="Times New Roman;Times;Serif"/>
          <w:b w:val="false"/>
          <w:i w:val="false"/>
          <w:caps w:val="false"/>
          <w:smallCaps w:val="false"/>
          <w:sz w:val="20"/>
        </w:rPr>
        <w:t>30,000 for the six months ended June 30, 2026 and 2025, respectively, and are recorded in selling, general and administrative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in connection with the Company’s shift in strategy to focus on soft tissue repair and bone fusion products for the surgical market, the Company terminated the Catalyst Services Agreement with Catalyst effective June 2, 2026. The Company did not pay a fee or penalty in connection with the termination of the Catalyst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8" w:name="xdx_807_eus-gaap--SegmentReportingDisclo"/>
      <w:bookmarkEnd w:id="828"/>
      <w:r>
        <w:rPr>
          <w:rFonts w:ascii="Times New Roman;Times;Serif" w:hAnsi="Times New Roman;Times;Serif"/>
          <w:b/>
          <w:i w:val="false"/>
          <w:caps w:val="false"/>
          <w:smallCaps w:val="false"/>
          <w:sz w:val="20"/>
        </w:rPr>
        <w:t xml:space="preserve">NOTE 12 — </w:t>
      </w:r>
      <w:bookmarkStart w:id="829" w:name="xdx_82D_zlhqJZPLIcE1"/>
      <w:bookmarkEnd w:id="829"/>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 2025, the Company announced that Seth Yon, its President and Chief Commercial Officer, was appointed to the position of President and Chief Executive Officer, effective September 15, 2025. The Company’s Chief Executive Officer is the chief operating decision maker (the “CODM”). The CODM reviews operating results and makes decisions about resource allocation. As described in Note 1, the THP segment met the accounting requirements to be classified as discontinued operations at September 30, 2025, and the Company no longer reports the THP segment. Accordingly, the Company has </w:t>
      </w:r>
      <w:bookmarkStart w:id="830" w:name="xdx_90F_eus-gaap--NumberOfReportableSegm"/>
      <w:bookmarkEnd w:id="830"/>
      <w:r>
        <w:rPr>
          <w:rFonts w:ascii="Times New Roman;Times;Serif" w:hAnsi="Times New Roman;Times;Serif"/>
          <w:b w:val="false"/>
          <w:i w:val="false"/>
          <w:caps w:val="false"/>
          <w:smallCaps w:val="false"/>
          <w:sz w:val="20"/>
        </w:rPr>
        <w:t>one reportable segment. The determination that the Company operates as a single segment is consistent with the nature of its operations and the financial information regularly reviewed by the Company’s CODM.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is the primary profitability measure used by the CODM for purposes of assessing financial performance and resource allocation. In addition to net income (loss), the CODM also uses Adjusted EBITDA for purposes of assessing financial performance and resource allocation. Adjusted EBITDA is a non-GAAP measure and is defined as net income (loss) from continuing operations excluding interest expense/income, provision/benefit for income taxes, depreciation and amortization, noncash share-based compensation expense, change in fair value of earnout liabilities, asset impairment charges, share of losses from equity method investments, gains/losses on the disposal of property and equipment, executive separation costs, and acquisition and other transaction related costs, as each is applicable to the periods presented. Adjusted EBITDA may not be comparable to similarly titled measures reported by other companies. The CODM also reviews budget-to-actual variances for expenses on a monthly basis when making decisions about allocating resources to the segment. The measure of segment assets is reported in the Consolidated Balance Sheets as total consolidated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1" w:name="xdx_89D_eus-gaap--ScheduleOfSegmentRepor"/>
      <w:bookmarkEnd w:id="831"/>
      <w:r>
        <w:rPr>
          <w:rFonts w:ascii="Times New Roman;Times;Serif" w:hAnsi="Times New Roman;Times;Serif"/>
          <w:b w:val="false"/>
          <w:i w:val="false"/>
          <w:caps w:val="false"/>
          <w:smallCaps w:val="false"/>
          <w:sz w:val="20"/>
        </w:rPr>
        <w:t>The following table reflects results of operations including significant segment expenses that are regularly provided to the CODM for the Company’s reportable segment and Adjusted EBITDA for the periods presented:</w:t>
      </w:r>
    </w:p>
    <w:p>
      <w:pPr>
        <w:pStyle w:val="TextBody"/>
        <w:bidi w:val="0"/>
        <w:spacing w:before="0" w:after="0"/>
        <w:ind w:left="0" w:right="0" w:hanging="0"/>
        <w:jc w:val="both"/>
        <w:rPr>
          <w:caps w:val="false"/>
          <w:smallCaps w:val="false"/>
        </w:rPr>
      </w:pPr>
      <w:r>
        <w:rPr>
          <w:caps w:val="false"/>
          <w:smallCaps w:val="false"/>
        </w:rPr>
        <w:t> </w:t>
      </w:r>
      <w:bookmarkStart w:id="832" w:name="xdx_8B9_zWTXEGFTUfMj"/>
      <w:bookmarkEnd w:id="832"/>
      <w:r>
        <w:rPr>
          <w:rFonts w:ascii="Times New Roman;Times;Serif" w:hAnsi="Times New Roman;Times;Serif"/>
          <w:b w:val="false"/>
          <w:i w:val="false"/>
          <w:caps w:val="false"/>
          <w:smallCaps w:val="false"/>
          <w:sz w:val="20"/>
        </w:rPr>
        <w:t>SCHEDULE OF OPERATIONS, ASSETS AND CAPITAL EXPENDITURES FOR OUR BUSINESS SEGMENTS</w:t>
      </w:r>
    </w:p>
    <w:tbl>
      <w:tblPr>
        <w:tblW w:w="10125" w:type="dxa"/>
        <w:jc w:val="left"/>
        <w:tblInd w:w="0" w:type="dxa"/>
        <w:tblLayout w:type="fixed"/>
        <w:tblCellMar>
          <w:top w:w="0" w:type="dxa"/>
          <w:left w:w="0" w:type="dxa"/>
          <w:bottom w:w="0" w:type="dxa"/>
          <w:right w:w="0" w:type="dxa"/>
        </w:tblCellMar>
      </w:tblPr>
      <w:tblGrid>
        <w:gridCol w:w="4565"/>
        <w:gridCol w:w="60"/>
        <w:gridCol w:w="140"/>
        <w:gridCol w:w="1100"/>
        <w:gridCol w:w="95"/>
        <w:gridCol w:w="60"/>
        <w:gridCol w:w="140"/>
        <w:gridCol w:w="1100"/>
        <w:gridCol w:w="60"/>
        <w:gridCol w:w="60"/>
        <w:gridCol w:w="140"/>
        <w:gridCol w:w="1100"/>
        <w:gridCol w:w="95"/>
        <w:gridCol w:w="60"/>
        <w:gridCol w:w="140"/>
        <w:gridCol w:w="1100"/>
        <w:gridCol w:w="110"/>
      </w:tblGrid>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33" w:name="xdx_498_20260401__20260630_z2E976t9pdf2"/>
            <w:bookmarkEnd w:id="83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34" w:name="xdx_49F_20250401__20250630_zETT6ztf6PIh"/>
            <w:bookmarkEnd w:id="83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35" w:name="xdx_49D_20260101__20260630_zc1Nj6BOqQQi"/>
            <w:bookmarkEnd w:id="83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36" w:name="xdx_493_20250101__20250630_zE9Um1oU2Oba"/>
            <w:bookmarkEnd w:id="83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bookmarkStart w:id="837" w:name="xdx_40F_eus-gaap--RevenueFromContractWit"/>
            <w:bookmarkEnd w:id="837"/>
          </w:p>
        </w:tc>
      </w:tr>
      <w:tr>
        <w:trPr/>
        <w:tc>
          <w:tcPr>
            <w:tcW w:w="4565" w:type="dxa"/>
            <w:tcBorders/>
            <w:shd w:fill="CCEEFF" w:val="clear"/>
            <w:vAlign w:val="center"/>
          </w:tcPr>
          <w:p>
            <w:pPr>
              <w:pStyle w:val="TableContents"/>
              <w:bidi w:val="0"/>
              <w:spacing w:before="0" w:after="283"/>
              <w:jc w:val="both"/>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28,136,757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25,804,252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55,935,291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49,238,348</w:t>
            </w:r>
          </w:p>
        </w:tc>
        <w:tc>
          <w:tcPr>
            <w:tcW w:w="110" w:type="dxa"/>
            <w:tcBorders/>
            <w:shd w:fill="CCEEFF" w:val="clear"/>
            <w:vAlign w:val="center"/>
          </w:tcPr>
          <w:p>
            <w:pPr>
              <w:pStyle w:val="TableContents"/>
              <w:bidi w:val="0"/>
              <w:spacing w:before="0" w:after="283"/>
              <w:jc w:val="left"/>
              <w:rPr/>
            </w:pPr>
            <w:r>
              <w:rPr/>
              <w:t> </w:t>
            </w:r>
            <w:bookmarkStart w:id="838" w:name="xdx_40C_eus-gaap--CostOfRevenue_pp0p0_zP"/>
            <w:bookmarkEnd w:id="838"/>
          </w:p>
        </w:tc>
      </w:tr>
      <w:tr>
        <w:trPr/>
        <w:tc>
          <w:tcPr>
            <w:tcW w:w="4565" w:type="dxa"/>
            <w:tcBorders/>
            <w:shd w:fill="FFFFFF" w:val="clear"/>
            <w:vAlign w:val="center"/>
          </w:tcPr>
          <w:p>
            <w:pPr>
              <w:pStyle w:val="TableContents"/>
              <w:bidi w:val="0"/>
              <w:spacing w:before="0" w:after="283"/>
              <w:jc w:val="both"/>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1,981,347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1,937,282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3,904,936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3,772,249</w:t>
            </w:r>
          </w:p>
        </w:tc>
        <w:tc>
          <w:tcPr>
            <w:tcW w:w="110" w:type="dxa"/>
            <w:tcBorders/>
            <w:shd w:fill="FFFFFF" w:val="clear"/>
            <w:vAlign w:val="center"/>
          </w:tcPr>
          <w:p>
            <w:pPr>
              <w:pStyle w:val="TableContents"/>
              <w:bidi w:val="0"/>
              <w:spacing w:before="0" w:after="283"/>
              <w:jc w:val="left"/>
              <w:rPr/>
            </w:pPr>
            <w:r>
              <w:rPr/>
              <w:t> </w:t>
            </w:r>
            <w:bookmarkStart w:id="839" w:name="xdx_403_eus-gaap--GeneralAndAdministrati"/>
            <w:bookmarkEnd w:id="839"/>
          </w:p>
        </w:tc>
      </w:tr>
      <w:tr>
        <w:trPr/>
        <w:tc>
          <w:tcPr>
            <w:tcW w:w="4565"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5,733,083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3,956,788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10,607,704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8,001,999</w:t>
            </w:r>
          </w:p>
        </w:tc>
        <w:tc>
          <w:tcPr>
            <w:tcW w:w="110" w:type="dxa"/>
            <w:tcBorders/>
            <w:shd w:fill="CCEEFF" w:val="clear"/>
            <w:vAlign w:val="center"/>
          </w:tcPr>
          <w:p>
            <w:pPr>
              <w:pStyle w:val="TableContents"/>
              <w:bidi w:val="0"/>
              <w:spacing w:before="0" w:after="283"/>
              <w:jc w:val="left"/>
              <w:rPr/>
            </w:pPr>
            <w:r>
              <w:rPr/>
              <w:t> </w:t>
            </w:r>
            <w:bookmarkStart w:id="840" w:name="xdx_403_eus-gaap--SellingAndMarketingExp"/>
            <w:bookmarkEnd w:id="840"/>
          </w:p>
        </w:tc>
      </w:tr>
      <w:tr>
        <w:trPr/>
        <w:tc>
          <w:tcPr>
            <w:tcW w:w="45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and marketing</w:t>
            </w:r>
            <w:bookmarkStart w:id="841" w:name="xdx_F40_zFEIZnObSx4d"/>
            <w:bookmarkEnd w:id="841"/>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16,868,607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15,677,531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33,875,506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30,761,528</w:t>
            </w:r>
          </w:p>
        </w:tc>
        <w:tc>
          <w:tcPr>
            <w:tcW w:w="110" w:type="dxa"/>
            <w:tcBorders/>
            <w:shd w:fill="FFFFFF" w:val="clear"/>
            <w:vAlign w:val="center"/>
          </w:tcPr>
          <w:p>
            <w:pPr>
              <w:pStyle w:val="TableContents"/>
              <w:bidi w:val="0"/>
              <w:spacing w:before="0" w:after="283"/>
              <w:jc w:val="left"/>
              <w:rPr/>
            </w:pPr>
            <w:r>
              <w:rPr/>
              <w:t> </w:t>
            </w:r>
            <w:bookmarkStart w:id="842" w:name="xdx_402_eus-gaap--ResearchAndDevelopment"/>
            <w:bookmarkEnd w:id="842"/>
          </w:p>
        </w:tc>
      </w:tr>
      <w:tr>
        <w:trPr/>
        <w:tc>
          <w:tcPr>
            <w:tcW w:w="4565"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1,154,232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1,056,796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1,913,824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2,007,155</w:t>
            </w:r>
          </w:p>
        </w:tc>
        <w:tc>
          <w:tcPr>
            <w:tcW w:w="110" w:type="dxa"/>
            <w:tcBorders/>
            <w:shd w:fill="CCEEFF" w:val="clear"/>
            <w:vAlign w:val="center"/>
          </w:tcPr>
          <w:p>
            <w:pPr>
              <w:pStyle w:val="TableContents"/>
              <w:bidi w:val="0"/>
              <w:spacing w:before="0" w:after="283"/>
              <w:jc w:val="left"/>
              <w:rPr/>
            </w:pPr>
            <w:r>
              <w:rPr/>
              <w:t> </w:t>
            </w:r>
            <w:bookmarkStart w:id="843" w:name="xdx_402_eus-gaap--DepreciationAndAmortiz"/>
            <w:bookmarkEnd w:id="843"/>
          </w:p>
        </w:tc>
      </w:tr>
      <w:tr>
        <w:trPr/>
        <w:tc>
          <w:tcPr>
            <w:tcW w:w="45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w:t>
            </w:r>
            <w:bookmarkStart w:id="844" w:name="xdx_F47_zMabTc8APW2a"/>
            <w:bookmarkEnd w:id="844"/>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619,111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688,546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1,382,578</w:t>
            </w:r>
          </w:p>
        </w:tc>
        <w:tc>
          <w:tcPr>
            <w:tcW w:w="110" w:type="dxa"/>
            <w:tcBorders/>
            <w:shd w:fill="FFFFFF" w:val="clear"/>
            <w:vAlign w:val="center"/>
          </w:tcPr>
          <w:p>
            <w:pPr>
              <w:pStyle w:val="TableContents"/>
              <w:bidi w:val="0"/>
              <w:spacing w:before="0" w:after="283"/>
              <w:jc w:val="left"/>
              <w:rPr/>
            </w:pPr>
            <w:r>
              <w:rPr/>
              <w:t> </w:t>
            </w:r>
            <w:bookmarkStart w:id="845" w:name="xdx_407_eus-gaap--OtherNonoperatingIncom"/>
            <w:bookmarkEnd w:id="845"/>
          </w:p>
        </w:tc>
      </w:tr>
      <w:tr>
        <w:trPr/>
        <w:tc>
          <w:tcPr>
            <w:tcW w:w="45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expense</w:t>
            </w:r>
            <w:bookmarkStart w:id="846" w:name="xdx_F4B_zfjixdwYBq9b"/>
            <w:bookmarkEnd w:id="846"/>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2,191,521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1,987,050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4,440,415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3,433,146</w:t>
            </w:r>
          </w:p>
        </w:tc>
        <w:tc>
          <w:tcPr>
            <w:tcW w:w="110" w:type="dxa"/>
            <w:tcBorders/>
            <w:shd w:fill="CCEEFF" w:val="clear"/>
            <w:vAlign w:val="center"/>
          </w:tcPr>
          <w:p>
            <w:pPr>
              <w:pStyle w:val="TableContents"/>
              <w:bidi w:val="0"/>
              <w:spacing w:before="0" w:after="283"/>
              <w:jc w:val="left"/>
              <w:rPr/>
            </w:pPr>
            <w:r>
              <w:rPr/>
              <w:t> </w:t>
            </w:r>
            <w:bookmarkStart w:id="847" w:name="xdx_40E_eus-gaap--IncomeLossFromContinui"/>
            <w:bookmarkEnd w:id="847"/>
          </w:p>
        </w:tc>
      </w:tr>
      <w:tr>
        <w:trPr/>
        <w:tc>
          <w:tcPr>
            <w:tcW w:w="4565" w:type="dxa"/>
            <w:tcBorders/>
            <w:shd w:fill="FFFFFF" w:val="clear"/>
            <w:vAlign w:val="center"/>
          </w:tcPr>
          <w:p>
            <w:pPr>
              <w:pStyle w:val="TableContents"/>
              <w:bidi w:val="0"/>
              <w:spacing w:before="0" w:after="283"/>
              <w:jc w:val="both"/>
              <w:rPr>
                <w:b/>
              </w:rPr>
            </w:pPr>
            <w:r>
              <w:rPr>
                <w:b/>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(411,144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500,259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(13,457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(120,307</w:t>
            </w:r>
          </w:p>
        </w:tc>
        <w:tc>
          <w:tcPr>
            <w:tcW w:w="110" w:type="dxa"/>
            <w:tcBorders/>
            <w:shd w:fill="FFFFFF" w:val="clear"/>
            <w:vAlign w:val="center"/>
          </w:tcPr>
          <w:p>
            <w:pPr>
              <w:pStyle w:val="TableContents"/>
              <w:bidi w:val="0"/>
              <w:spacing w:before="0" w:after="283"/>
              <w:jc w:val="left"/>
              <w:rPr>
                <w:b/>
              </w:rPr>
            </w:pPr>
            <w:r>
              <w:rPr>
                <w:b/>
              </w:rPr>
              <w:t>)</w:t>
            </w:r>
            <w:bookmarkStart w:id="848" w:name="xdx_408_ecustom--EarningsBeforeInterestT"/>
            <w:bookmarkEnd w:id="848"/>
          </w:p>
        </w:tc>
      </w:tr>
      <w:tr>
        <w:trPr/>
        <w:tc>
          <w:tcPr>
            <w:tcW w:w="4565" w:type="dxa"/>
            <w:tcBorders/>
            <w:shd w:fill="CCEEFF" w:val="clear"/>
            <w:vAlign w:val="center"/>
          </w:tcPr>
          <w:p>
            <w:pPr>
              <w:pStyle w:val="TableContents"/>
              <w:bidi w:val="0"/>
              <w:spacing w:before="0" w:after="283"/>
              <w:jc w:val="both"/>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5,010,778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4,719,827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9,272,946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7,414,885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49" w:name="xdx_F05_zAAiBWP9vad4"/>
            <w:bookmarkEnd w:id="849"/>
            <w:r>
              <w:rPr>
                <w:rFonts w:ascii="Times New Roman;Times;Serif" w:hAnsi="Times New Roman;Times;Serif"/>
                <w:b w:val="false"/>
                <w:i w:val="false"/>
                <w:caps w:val="false"/>
                <w:smallCaps w:val="false"/>
                <w:sz w:val="20"/>
              </w:rPr>
              <w:t>(1)</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50" w:name="xdx_F12_zJdJztbrdWe2"/>
            <w:bookmarkEnd w:id="850"/>
            <w:r>
              <w:rPr>
                <w:rFonts w:ascii="Times New Roman;Times;Serif" w:hAnsi="Times New Roman;Times;Serif"/>
                <w:b w:val="false"/>
                <w:i w:val="false"/>
                <w:caps w:val="false"/>
                <w:smallCaps w:val="false"/>
                <w:sz w:val="20"/>
              </w:rPr>
              <w:t>For the three and six months ended June 30, 2026 and 2025, sales and marketing included compensation and benefits, commissions, travel and other sales and marketing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51" w:name="xdx_F0C_zvCzYD81KlDf"/>
            <w:bookmarkEnd w:id="851"/>
            <w:r>
              <w:rPr>
                <w:rFonts w:ascii="Times New Roman;Times;Serif" w:hAnsi="Times New Roman;Times;Serif"/>
                <w:b w:val="false"/>
                <w:i w:val="false"/>
                <w:caps w:val="false"/>
                <w:smallCaps w:val="false"/>
                <w:sz w:val="20"/>
              </w:rPr>
              <w:t>(2)</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52" w:name="xdx_F15_zPCTsiFACJc2"/>
            <w:bookmarkEnd w:id="852"/>
            <w:r>
              <w:rPr>
                <w:rFonts w:ascii="Times New Roman;Times;Serif" w:hAnsi="Times New Roman;Times;Serif"/>
                <w:b w:val="false"/>
                <w:i w:val="false"/>
                <w:caps w:val="false"/>
                <w:smallCaps w:val="false"/>
                <w:sz w:val="20"/>
              </w:rPr>
              <w:t>Depreciation expense of $</w:t>
            </w:r>
            <w:bookmarkStart w:id="853" w:name="xdx_900_eus-gaap--Depreciation_c20250401"/>
            <w:bookmarkEnd w:id="853"/>
            <w:r>
              <w:rPr>
                <w:rFonts w:ascii="Times New Roman;Times;Serif" w:hAnsi="Times New Roman;Times;Serif"/>
                <w:b w:val="false"/>
                <w:i w:val="false"/>
                <w:caps w:val="false"/>
                <w:smallCaps w:val="false"/>
                <w:sz w:val="20"/>
              </w:rPr>
              <w:t>7,021 and $</w:t>
            </w:r>
            <w:bookmarkStart w:id="854" w:name="xdx_904_eus-gaap--Depreciation_c20250101"/>
            <w:bookmarkEnd w:id="854"/>
            <w:r>
              <w:rPr>
                <w:rFonts w:ascii="Times New Roman;Times;Serif" w:hAnsi="Times New Roman;Times;Serif"/>
                <w:b w:val="false"/>
                <w:i w:val="false"/>
                <w:caps w:val="false"/>
                <w:smallCaps w:val="false"/>
                <w:sz w:val="20"/>
              </w:rPr>
              <w:t>12,482 was reclassified as continuing operations in the three and six months ended June 30, 2025, respectively, and is therefore no longer reflected in discontinued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55" w:name="xdx_F02_z5Qy87XcKHbg"/>
            <w:bookmarkEnd w:id="855"/>
            <w:r>
              <w:rPr>
                <w:rFonts w:ascii="Times New Roman;Times;Serif" w:hAnsi="Times New Roman;Times;Serif"/>
                <w:b w:val="false"/>
                <w:i w:val="false"/>
                <w:caps w:val="false"/>
                <w:smallCaps w:val="false"/>
                <w:sz w:val="20"/>
              </w:rPr>
              <w:t>(3)</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56" w:name="xdx_F1A_zq3J0sfodnQa"/>
            <w:bookmarkEnd w:id="856"/>
            <w:r>
              <w:rPr>
                <w:rFonts w:ascii="Times New Roman;Times;Serif" w:hAnsi="Times New Roman;Times;Serif"/>
                <w:b w:val="false"/>
                <w:i w:val="false"/>
                <w:caps w:val="false"/>
                <w:smallCaps w:val="false"/>
                <w:sz w:val="20"/>
              </w:rPr>
              <w:t>For the three and six months ended June 30, 2026, other expense included interest expense, share of losses from equity method investments and loss on disposal of property and equipment, offset by interest income. For the three months ended June 30, 2025, other expense included interest expense and share of losses from equity method investments. For the six months ended June 30, 2025, other expense included interest expense and share of losses from equity method investments, offset by interest income and gain on disposal of property and equipment.</w:t>
            </w:r>
          </w:p>
        </w:tc>
      </w:tr>
    </w:tbl>
    <w:p>
      <w:pPr>
        <w:pStyle w:val="TextBody"/>
        <w:bidi w:val="0"/>
        <w:spacing w:before="0" w:after="0"/>
        <w:ind w:left="630" w:right="0" w:hanging="270"/>
        <w:jc w:val="both"/>
        <w:rPr>
          <w:caps w:val="false"/>
          <w:smallCaps w:val="false"/>
        </w:rPr>
      </w:pPr>
      <w:bookmarkStart w:id="857" w:name="xdx_8A4_zWLQ99S6Eh6d"/>
      <w:bookmarkEnd w:id="8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58" w:name="xdx_892_eus-gaap--ReconciliationOfOperat"/>
      <w:bookmarkEnd w:id="858"/>
      <w:r>
        <w:rPr>
          <w:rFonts w:ascii="Times New Roman;Times;Serif" w:hAnsi="Times New Roman;Times;Serif"/>
          <w:b w:val="false"/>
          <w:i w:val="false"/>
          <w:caps w:val="false"/>
          <w:smallCaps w:val="false"/>
          <w:sz w:val="20"/>
        </w:rPr>
        <w:t>The following table provides a reconciliation of net income (loss) from continuing operations to Adjusted EBITDA for the periods presented:</w:t>
      </w:r>
    </w:p>
    <w:p>
      <w:pPr>
        <w:pStyle w:val="TextBody"/>
        <w:bidi w:val="0"/>
        <w:spacing w:before="0" w:after="0"/>
        <w:ind w:left="0" w:right="0" w:hanging="0"/>
        <w:jc w:val="both"/>
        <w:rPr>
          <w:caps w:val="false"/>
          <w:smallCaps w:val="false"/>
        </w:rPr>
      </w:pPr>
      <w:r>
        <w:rPr>
          <w:caps w:val="false"/>
          <w:smallCaps w:val="false"/>
        </w:rPr>
        <w:t> </w:t>
      </w:r>
      <w:bookmarkStart w:id="859" w:name="xdx_8B9_znrZpvJVXrc3"/>
      <w:bookmarkEnd w:id="859"/>
      <w:r>
        <w:rPr>
          <w:rFonts w:ascii="Times New Roman;Times;Serif" w:hAnsi="Times New Roman;Times;Serif"/>
          <w:b w:val="false"/>
          <w:i w:val="false"/>
          <w:caps w:val="false"/>
          <w:smallCaps w:val="false"/>
          <w:sz w:val="20"/>
        </w:rPr>
        <w:t>SCHEDULE OF RECONCILIATION OF NET INCOME (LOSS) FROM CONTINUING OPERATIONS TO ADJUSTED EBITDA</w:t>
      </w:r>
    </w:p>
    <w:tbl>
      <w:tblPr>
        <w:tblW w:w="9840" w:type="dxa"/>
        <w:jc w:val="left"/>
        <w:tblInd w:w="0" w:type="dxa"/>
        <w:tblLayout w:type="fixed"/>
        <w:tblCellMar>
          <w:top w:w="0" w:type="dxa"/>
          <w:left w:w="0" w:type="dxa"/>
          <w:bottom w:w="0" w:type="dxa"/>
          <w:right w:w="0" w:type="dxa"/>
        </w:tblCellMar>
      </w:tblPr>
      <w:tblGrid>
        <w:gridCol w:w="4760"/>
        <w:gridCol w:w="60"/>
        <w:gridCol w:w="140"/>
        <w:gridCol w:w="980"/>
        <w:gridCol w:w="95"/>
        <w:gridCol w:w="60"/>
        <w:gridCol w:w="140"/>
        <w:gridCol w:w="980"/>
        <w:gridCol w:w="60"/>
        <w:gridCol w:w="60"/>
        <w:gridCol w:w="140"/>
        <w:gridCol w:w="980"/>
        <w:gridCol w:w="95"/>
        <w:gridCol w:w="60"/>
        <w:gridCol w:w="140"/>
        <w:gridCol w:w="980"/>
        <w:gridCol w:w="110"/>
      </w:tblGrid>
      <w:tr>
        <w:trPr/>
        <w:tc>
          <w:tcPr>
            <w:tcW w:w="4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60" w:name="xdx_495_20260401__20260630_zBThGkX6NTA7"/>
            <w:bookmarkEnd w:id="860"/>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61" w:name="xdx_49A_20250401__20250630_z4thBI86seYf"/>
            <w:bookmarkEnd w:id="861"/>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62" w:name="xdx_49B_20260101__20260630_zHDjst5EXgl1"/>
            <w:bookmarkEnd w:id="862"/>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63" w:name="xdx_492_20250101__20250630_zW4kyh7IXlIl"/>
            <w:bookmarkEnd w:id="863"/>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4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bookmarkStart w:id="864" w:name="xdx_409_eus-gaap--IncomeLossFromContinui"/>
            <w:bookmarkEnd w:id="864"/>
          </w:p>
        </w:tc>
      </w:tr>
      <w:tr>
        <w:trPr/>
        <w:tc>
          <w:tcPr>
            <w:tcW w:w="4760" w:type="dxa"/>
            <w:tcBorders/>
            <w:shd w:fill="CCEEFF" w:val="clear"/>
            <w:vAlign w:val="center"/>
          </w:tcPr>
          <w:p>
            <w:pPr>
              <w:pStyle w:val="TableContents"/>
              <w:bidi w:val="0"/>
              <w:spacing w:before="0" w:after="283"/>
              <w:jc w:val="both"/>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(411,144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(13,457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(120,307</w:t>
            </w:r>
          </w:p>
        </w:tc>
        <w:tc>
          <w:tcPr>
            <w:tcW w:w="110" w:type="dxa"/>
            <w:tcBorders/>
            <w:shd w:fill="CCEEFF" w:val="clear"/>
            <w:vAlign w:val="center"/>
          </w:tcPr>
          <w:p>
            <w:pPr>
              <w:pStyle w:val="TableContents"/>
              <w:bidi w:val="0"/>
              <w:spacing w:before="0" w:after="283"/>
              <w:jc w:val="left"/>
              <w:rPr/>
            </w:pPr>
            <w:r>
              <w:rPr/>
              <w:t>)</w:t>
            </w:r>
          </w:p>
        </w:tc>
      </w:tr>
      <w:tr>
        <w:trPr/>
        <w:tc>
          <w:tcPr>
            <w:tcW w:w="4760" w:type="dxa"/>
            <w:tcBorders/>
            <w:shd w:fill="FFFFFF" w:val="clear"/>
            <w:vAlign w:val="center"/>
          </w:tcPr>
          <w:p>
            <w:pPr>
              <w:pStyle w:val="TableContents"/>
              <w:bidi w:val="0"/>
              <w:spacing w:before="0" w:after="283"/>
              <w:jc w:val="both"/>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65" w:name="xdx_407_eus-gaap--InterestExpense_zneTIC"/>
            <w:bookmarkEnd w:id="865"/>
          </w:p>
        </w:tc>
      </w:tr>
      <w:tr>
        <w:trPr/>
        <w:tc>
          <w:tcPr>
            <w:tcW w:w="4760"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1,810,311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1,791,568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3,609,656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3,108,660</w:t>
            </w:r>
          </w:p>
        </w:tc>
        <w:tc>
          <w:tcPr>
            <w:tcW w:w="110" w:type="dxa"/>
            <w:tcBorders/>
            <w:shd w:fill="CCEEFF" w:val="clear"/>
            <w:vAlign w:val="center"/>
          </w:tcPr>
          <w:p>
            <w:pPr>
              <w:pStyle w:val="TableContents"/>
              <w:bidi w:val="0"/>
              <w:spacing w:before="0" w:after="283"/>
              <w:jc w:val="left"/>
              <w:rPr/>
            </w:pPr>
            <w:r>
              <w:rPr/>
              <w:t> </w:t>
            </w:r>
            <w:bookmarkStart w:id="866" w:name="xdx_406_eus-gaap--DepreciationAndAmortiz"/>
            <w:bookmarkEnd w:id="866"/>
          </w:p>
        </w:tc>
      </w:tr>
      <w:tr>
        <w:trPr/>
        <w:tc>
          <w:tcPr>
            <w:tcW w:w="47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w:t>
            </w:r>
            <w:bookmarkStart w:id="867" w:name="xdx_F4B_zDJYSTEbGilj"/>
            <w:bookmarkEnd w:id="867"/>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619,111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688,546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1,382,578</w:t>
            </w:r>
          </w:p>
        </w:tc>
        <w:tc>
          <w:tcPr>
            <w:tcW w:w="110" w:type="dxa"/>
            <w:tcBorders/>
            <w:shd w:fill="FFFFFF" w:val="clear"/>
            <w:vAlign w:val="center"/>
          </w:tcPr>
          <w:p>
            <w:pPr>
              <w:pStyle w:val="TableContents"/>
              <w:bidi w:val="0"/>
              <w:spacing w:before="0" w:after="283"/>
              <w:jc w:val="left"/>
              <w:rPr/>
            </w:pPr>
            <w:r>
              <w:rPr/>
              <w:t> </w:t>
            </w:r>
            <w:bookmarkStart w:id="868" w:name="xdx_400_eus-gaap--EmployeeBenefitsAndSha"/>
            <w:bookmarkEnd w:id="868"/>
          </w:p>
        </w:tc>
      </w:tr>
      <w:tr>
        <w:trPr/>
        <w:tc>
          <w:tcPr>
            <w:tcW w:w="4760" w:type="dxa"/>
            <w:tcBorders/>
            <w:shd w:fill="CCEEFF" w:val="clear"/>
            <w:vAlign w:val="center"/>
          </w:tcPr>
          <w:p>
            <w:pPr>
              <w:pStyle w:val="TableContents"/>
              <w:bidi w:val="0"/>
              <w:spacing w:before="0" w:after="283"/>
              <w:jc w:val="both"/>
              <w:rPr/>
            </w:pPr>
            <w:r>
              <w:rPr/>
              <w:t>Noncash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1,496,310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1,278,871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2,524,645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2,454,367</w:t>
            </w:r>
          </w:p>
        </w:tc>
        <w:tc>
          <w:tcPr>
            <w:tcW w:w="110" w:type="dxa"/>
            <w:tcBorders/>
            <w:shd w:fill="CCEEFF" w:val="clear"/>
            <w:vAlign w:val="center"/>
          </w:tcPr>
          <w:p>
            <w:pPr>
              <w:pStyle w:val="TableContents"/>
              <w:bidi w:val="0"/>
              <w:spacing w:before="0" w:after="283"/>
              <w:jc w:val="left"/>
              <w:rPr/>
            </w:pPr>
            <w:r>
              <w:rPr/>
              <w:t> </w:t>
            </w:r>
            <w:bookmarkStart w:id="869" w:name="xdx_405_eus-gaap--IncomeLossFromEquityMe"/>
            <w:bookmarkEnd w:id="869"/>
          </w:p>
        </w:tc>
      </w:tr>
      <w:tr>
        <w:trPr/>
        <w:tc>
          <w:tcPr>
            <w:tcW w:w="4760" w:type="dxa"/>
            <w:tcBorders/>
            <w:shd w:fill="FFFFFF" w:val="clear"/>
            <w:vAlign w:val="center"/>
          </w:tcPr>
          <w:p>
            <w:pPr>
              <w:pStyle w:val="TableContents"/>
              <w:bidi w:val="0"/>
              <w:spacing w:before="0" w:after="283"/>
              <w:jc w:val="both"/>
              <w:rPr/>
            </w:pPr>
            <w:r>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433,648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195,482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896,155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339,090</w:t>
            </w:r>
          </w:p>
        </w:tc>
        <w:tc>
          <w:tcPr>
            <w:tcW w:w="110" w:type="dxa"/>
            <w:tcBorders/>
            <w:shd w:fill="FFFFFF" w:val="clear"/>
            <w:vAlign w:val="center"/>
          </w:tcPr>
          <w:p>
            <w:pPr>
              <w:pStyle w:val="TableContents"/>
              <w:bidi w:val="0"/>
              <w:spacing w:before="0" w:after="283"/>
              <w:jc w:val="left"/>
              <w:rPr/>
            </w:pPr>
            <w:r>
              <w:rPr/>
              <w:t> </w:t>
            </w:r>
            <w:bookmarkStart w:id="870" w:name="xdx_40A_eus-gaap--GainLossOnSaleOfProper"/>
            <w:bookmarkEnd w:id="870"/>
          </w:p>
        </w:tc>
      </w:tr>
      <w:tr>
        <w:trPr/>
        <w:tc>
          <w:tcPr>
            <w:tcW w:w="4760" w:type="dxa"/>
            <w:tcBorders/>
            <w:shd w:fill="CCEEFF" w:val="clear"/>
            <w:vAlign w:val="center"/>
          </w:tcPr>
          <w:p>
            <w:pPr>
              <w:pStyle w:val="TableContents"/>
              <w:bidi w:val="0"/>
              <w:spacing w:before="0" w:after="283"/>
              <w:jc w:val="both"/>
              <w:rPr/>
            </w:pPr>
            <w:r>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(10,932</w:t>
            </w:r>
          </w:p>
        </w:tc>
        <w:tc>
          <w:tcPr>
            <w:tcW w:w="110" w:type="dxa"/>
            <w:tcBorders/>
            <w:shd w:fill="CCEEFF" w:val="clear"/>
            <w:vAlign w:val="center"/>
          </w:tcPr>
          <w:p>
            <w:pPr>
              <w:pStyle w:val="TableContents"/>
              <w:bidi w:val="0"/>
              <w:spacing w:before="0" w:after="283"/>
              <w:jc w:val="left"/>
              <w:rPr/>
            </w:pPr>
            <w:r>
              <w:rPr/>
              <w:t>)</w:t>
            </w:r>
            <w:bookmarkStart w:id="871" w:name="xdx_402_eus-gaap--InterestIncomeOther_iN"/>
            <w:bookmarkEnd w:id="871"/>
          </w:p>
        </w:tc>
      </w:tr>
      <w:tr>
        <w:trPr/>
        <w:tc>
          <w:tcPr>
            <w:tcW w:w="476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(53,814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(3,672</w:t>
            </w:r>
          </w:p>
        </w:tc>
        <w:tc>
          <w:tcPr>
            <w:tcW w:w="110" w:type="dxa"/>
            <w:tcBorders/>
            <w:shd w:fill="FFFFFF" w:val="clear"/>
            <w:vAlign w:val="center"/>
          </w:tcPr>
          <w:p>
            <w:pPr>
              <w:pStyle w:val="TableContents"/>
              <w:bidi w:val="0"/>
              <w:spacing w:before="0" w:after="283"/>
              <w:jc w:val="left"/>
              <w:rPr/>
            </w:pPr>
            <w:r>
              <w:rPr/>
              <w:t>)</w:t>
            </w:r>
            <w:bookmarkStart w:id="872" w:name="xdx_40D_ecustom--ExecutiveSeparationCost"/>
            <w:bookmarkEnd w:id="872"/>
          </w:p>
        </w:tc>
      </w:tr>
      <w:tr>
        <w:trPr/>
        <w:tc>
          <w:tcPr>
            <w:tcW w:w="47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separation costs</w:t>
            </w:r>
            <w:bookmarkStart w:id="873" w:name="xdx_F4E_zJEhZoS8vWXh"/>
            <w:bookmarkEnd w:id="873"/>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260,275</w:t>
            </w:r>
          </w:p>
        </w:tc>
        <w:tc>
          <w:tcPr>
            <w:tcW w:w="110" w:type="dxa"/>
            <w:tcBorders/>
            <w:shd w:fill="CCEEFF" w:val="clear"/>
            <w:vAlign w:val="center"/>
          </w:tcPr>
          <w:p>
            <w:pPr>
              <w:pStyle w:val="TableContents"/>
              <w:bidi w:val="0"/>
              <w:spacing w:before="0" w:after="283"/>
              <w:jc w:val="left"/>
              <w:rPr/>
            </w:pPr>
            <w:r>
              <w:rPr/>
              <w:t> </w:t>
            </w:r>
            <w:bookmarkStart w:id="874" w:name="xdx_40E_eus-gaap--BusinessCombinationAcq"/>
            <w:bookmarkEnd w:id="874"/>
          </w:p>
        </w:tc>
      </w:tr>
      <w:tr>
        <w:trPr/>
        <w:tc>
          <w:tcPr>
            <w:tcW w:w="47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 and other transaction related costs</w:t>
            </w:r>
            <w:bookmarkStart w:id="875" w:name="xdx_F48_z1NP1JKGqkQd"/>
            <w:bookmarkEnd w:id="875"/>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4,826</w:t>
            </w:r>
          </w:p>
        </w:tc>
        <w:tc>
          <w:tcPr>
            <w:tcW w:w="110" w:type="dxa"/>
            <w:tcBorders/>
            <w:shd w:fill="FFFFFF" w:val="clear"/>
            <w:vAlign w:val="center"/>
          </w:tcPr>
          <w:p>
            <w:pPr>
              <w:pStyle w:val="TableContents"/>
              <w:bidi w:val="0"/>
              <w:spacing w:before="0" w:after="283"/>
              <w:jc w:val="left"/>
              <w:rPr/>
            </w:pPr>
            <w:r>
              <w:rPr/>
              <w:t> </w:t>
            </w:r>
            <w:bookmarkStart w:id="876" w:name="xdx_402_ecustom--EarningsBeforeInterestT"/>
            <w:bookmarkEnd w:id="876"/>
          </w:p>
        </w:tc>
      </w:tr>
      <w:tr>
        <w:trPr/>
        <w:tc>
          <w:tcPr>
            <w:tcW w:w="4760" w:type="dxa"/>
            <w:tcBorders/>
            <w:shd w:fill="CCEEFF" w:val="clear"/>
            <w:vAlign w:val="center"/>
          </w:tcPr>
          <w:p>
            <w:pPr>
              <w:pStyle w:val="TableContents"/>
              <w:bidi w:val="0"/>
              <w:spacing w:before="0" w:after="283"/>
              <w:jc w:val="both"/>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5,010,778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4,719,827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9,272,946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7,414,885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77" w:name="xdx_F01_zVP1dzbVLq4d"/>
            <w:bookmarkEnd w:id="877"/>
            <w:r>
              <w:rPr>
                <w:rFonts w:ascii="Times New Roman;Times;Serif" w:hAnsi="Times New Roman;Times;Serif"/>
                <w:b w:val="false"/>
                <w:i w:val="false"/>
                <w:caps w:val="false"/>
                <w:smallCaps w:val="false"/>
                <w:sz w:val="20"/>
              </w:rPr>
              <w:t>(1)</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78" w:name="xdx_F14_zdUcbAyL6tA1"/>
            <w:bookmarkEnd w:id="878"/>
            <w:r>
              <w:rPr>
                <w:rFonts w:ascii="Times New Roman;Times;Serif" w:hAnsi="Times New Roman;Times;Serif"/>
                <w:b w:val="false"/>
                <w:i w:val="false"/>
                <w:caps w:val="false"/>
                <w:smallCaps w:val="false"/>
                <w:sz w:val="20"/>
              </w:rPr>
              <w:t>Depreciation expense of $</w:t>
            </w:r>
            <w:bookmarkStart w:id="879" w:name="xdx_900_eus-gaap--Depreciation_c20250401"/>
            <w:bookmarkEnd w:id="879"/>
            <w:r>
              <w:rPr>
                <w:rFonts w:ascii="Times New Roman;Times;Serif" w:hAnsi="Times New Roman;Times;Serif"/>
                <w:b w:val="false"/>
                <w:i w:val="false"/>
                <w:caps w:val="false"/>
                <w:smallCaps w:val="false"/>
                <w:sz w:val="20"/>
              </w:rPr>
              <w:t>7,021 and $</w:t>
            </w:r>
            <w:bookmarkStart w:id="880" w:name="xdx_90C_eus-gaap--Depreciation_c20250101"/>
            <w:bookmarkEnd w:id="880"/>
            <w:r>
              <w:rPr>
                <w:rFonts w:ascii="Times New Roman;Times;Serif" w:hAnsi="Times New Roman;Times;Serif"/>
                <w:b w:val="false"/>
                <w:i w:val="false"/>
                <w:caps w:val="false"/>
                <w:smallCaps w:val="false"/>
                <w:sz w:val="20"/>
              </w:rPr>
              <w:t>12,482 was reclassified as continuing operations in the three and six months ended June 30, 2025, respectively, and is therefore no longer reflected in discontinued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81" w:name="xdx_F08_zX2B73o1VTxh"/>
            <w:bookmarkEnd w:id="881"/>
            <w:r>
              <w:rPr>
                <w:rFonts w:ascii="Times New Roman;Times;Serif" w:hAnsi="Times New Roman;Times;Serif"/>
                <w:b w:val="false"/>
                <w:i w:val="false"/>
                <w:caps w:val="false"/>
                <w:smallCaps w:val="false"/>
                <w:sz w:val="20"/>
              </w:rPr>
              <w:t>(2)</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82" w:name="xdx_F18_zBiu08Y2mXi"/>
            <w:bookmarkEnd w:id="882"/>
            <w:r>
              <w:rPr>
                <w:rFonts w:ascii="Times New Roman;Times;Serif" w:hAnsi="Times New Roman;Times;Serif"/>
                <w:b w:val="false"/>
                <w:i w:val="false"/>
                <w:caps w:val="false"/>
                <w:smallCaps w:val="false"/>
                <w:sz w:val="20"/>
              </w:rPr>
              <w:t>Includes $</w:t>
            </w:r>
            <w:bookmarkStart w:id="883" w:name="xdx_900_eus-gaap--AllocatedShareBasedCom"/>
            <w:bookmarkStart w:id="884" w:name="xdx_90F_eus-gaap--AllocatedShareBasedCom"/>
            <w:bookmarkEnd w:id="883"/>
            <w:bookmarkEnd w:id="884"/>
            <w:r>
              <w:rPr>
                <w:rFonts w:ascii="Times New Roman;Times;Serif" w:hAnsi="Times New Roman;Times;Serif"/>
                <w:b w:val="false"/>
                <w:i w:val="false"/>
                <w:caps w:val="false"/>
                <w:smallCaps w:val="false"/>
                <w:sz w:val="20"/>
              </w:rPr>
              <w:t>130,174 of share-based compensation related to executive separation costs for the three and six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85" w:name="xdx_F0E_zDd8fBKNKCB1"/>
            <w:bookmarkEnd w:id="885"/>
            <w:r>
              <w:rPr>
                <w:rFonts w:ascii="Times New Roman;Times;Serif" w:hAnsi="Times New Roman;Times;Serif"/>
                <w:b w:val="false"/>
                <w:i w:val="false"/>
                <w:caps w:val="false"/>
                <w:smallCaps w:val="false"/>
                <w:sz w:val="20"/>
              </w:rPr>
              <w:t>(3)</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86" w:name="xdx_F1B_zxH2Z7K2wJN1"/>
            <w:bookmarkEnd w:id="886"/>
            <w:r>
              <w:rPr>
                <w:rFonts w:ascii="Times New Roman;Times;Serif" w:hAnsi="Times New Roman;Times;Serif"/>
                <w:b w:val="false"/>
                <w:i w:val="false"/>
                <w:caps w:val="false"/>
                <w:smallCaps w:val="false"/>
                <w:sz w:val="20"/>
              </w:rPr>
              <w:t>Acquisition and other transaction related costs are comprised of legal and advisory services related to prospective acquisitions and corporate strategic initiatives.</w:t>
            </w:r>
          </w:p>
        </w:tc>
      </w:tr>
    </w:tbl>
    <w:p>
      <w:pPr>
        <w:pStyle w:val="TextBody"/>
        <w:bidi w:val="0"/>
        <w:spacing w:before="0" w:after="0"/>
        <w:ind w:left="630" w:right="0" w:hanging="270"/>
        <w:jc w:val="both"/>
        <w:rPr>
          <w:caps w:val="false"/>
          <w:smallCaps w:val="false"/>
        </w:rPr>
      </w:pPr>
      <w:bookmarkStart w:id="887" w:name="xdx_8A0_zmdaYftDQdM3"/>
      <w:bookmarkEnd w:id="88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8" w:name="xdx_805_eus-gaap--SubsequentEventsTextBl"/>
      <w:bookmarkEnd w:id="888"/>
      <w:r>
        <w:rPr>
          <w:rFonts w:ascii="Times New Roman;Times;Serif" w:hAnsi="Times New Roman;Times;Serif"/>
          <w:b/>
          <w:i w:val="false"/>
          <w:caps w:val="false"/>
          <w:smallCaps w:val="false"/>
          <w:sz w:val="20"/>
        </w:rPr>
        <w:t xml:space="preserve">NOTE 13 — </w:t>
      </w:r>
      <w:bookmarkStart w:id="889" w:name="xdx_820_zo1QHWQGcvR2"/>
      <w:bookmarkEnd w:id="889"/>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entered into an Agreement and Plan of Merger (the “Merger Agreement”) by and among the Company, MiMedx Group, Inc., a Florida corporation (“Parent”), and Mustang Merger Sub, Inc., a Texas corporation and a wholly-owned subsidiary of Parent (“Merger Subsidiary”). Upon the terms and conditions set forth in the Merger Agreement, Merger Subsidiary will be merged with and into the Company (the “Merger”), with the Company surviving the Merger as a wholly-owned subsidiary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upon the terms and subject to the conditions described therein, at the effective time of the Merger (the “Effective Time”), each share of the Company’s common stock issued and outstanding immediately prior to the Effective Time (other than (i) shares held by a holder who is entitled to demand and properly demands appraisal of such shares in accordance with Chapter 10, Subchapter H of the Texas Business Organizations Code and (ii) shares held by the Company, Parent or any of their respective subsidiaries (each, an “Excluded Company Share”)), will be cancelled and converted into the right to receive $</w:t>
      </w:r>
      <w:bookmarkStart w:id="890" w:name="xdx_90F_eus-gaap--SharePrice_iI_pid_c202"/>
      <w:bookmarkEnd w:id="890"/>
      <w:r>
        <w:rPr>
          <w:rFonts w:ascii="Times New Roman;Times;Serif" w:hAnsi="Times New Roman;Times;Serif"/>
          <w:b w:val="false"/>
          <w:i w:val="false"/>
          <w:caps w:val="false"/>
          <w:smallCaps w:val="false"/>
          <w:sz w:val="20"/>
        </w:rPr>
        <w:t xml:space="preserve">33.00 per share in cash, without interest (the “Per Share Cash Consideration”), and </w:t>
      </w:r>
      <w:bookmarkStart w:id="891" w:name="xdx_90D_eus-gaap--BusinessAcquisitionEqu"/>
      <w:bookmarkEnd w:id="891"/>
      <w:r>
        <w:rPr>
          <w:rFonts w:ascii="Times New Roman;Times;Serif" w:hAnsi="Times New Roman;Times;Serif"/>
          <w:b w:val="false"/>
          <w:i w:val="false"/>
          <w:caps w:val="false"/>
          <w:smallCaps w:val="false"/>
          <w:sz w:val="20"/>
        </w:rPr>
        <w:t>0.4735 shares (the “Per Share Stock Consideration,” and together with the Per Share Cash Consideration, the “Merger Consideration”) of common stock, par value $</w:t>
      </w:r>
      <w:bookmarkStart w:id="892" w:name="xdx_908_eus-gaap--CommonStockParOrStated"/>
      <w:bookmarkEnd w:id="892"/>
      <w:r>
        <w:rPr>
          <w:rFonts w:ascii="Times New Roman;Times;Serif" w:hAnsi="Times New Roman;Times;Serif"/>
          <w:b w:val="false"/>
          <w:i w:val="false"/>
          <w:caps w:val="false"/>
          <w:smallCaps w:val="false"/>
          <w:sz w:val="20"/>
        </w:rPr>
        <w:t>0.001 per share, of Parent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Parent Common Stock to be issued in connection with the Merger will be listed on the Nasdaq Stock Market. In connection with the issuance of Parent Common Stock as Merger Consideration, Parent will file with the U.S. Securities and Exchange Commission (the “SEC”) a registration statement on Form S-4 (the “Registration Statement”), which will include the proxy statement of the Company for its shareholder meeting relating to the Merger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immediately prior to the Effective Time, (i) each share of restricted company stock of the Company granted pursuant to the Sanara MedTech Inc. Restated 2014 Omnibus Long-Term Incentive Plan, the Sanara MedTech Inc. 2024 Omnibus Long-Term Incentive Plan, or otherwise, whether vested or unvested, that is outstanding as of immediately prior to the Effective Time and which is subject to restrictions on transfer and/or forfeiture (the “Company Restricted Stock”), will automatically be canceled and converted automatically into the right to receive from the Company, at or promptly after the Effective Time, an amount (a) in cash (less applicable tax withholdings) equal to the Per Share Cash Consideration and (b) a number of shares of Parent Common Stock equal to the Per Share Stock Consideration (the “Restricted Stock Consideration”); and (ii) immediately prior to the Effective Time, each option that represents the right to acquire common stock of the Company that is outstanding as of immediately prior to the Effective Time (each, a “Company Option”) shall, by virtue of the Merger and without any action on the part of the Company, Parent or the holder of such Company Option, automatically be cancelled and converted automatically into the right to receive from the Company, at or promptly after the Effective Time, an amount in cash (less applicable taxes) equal to the Merger Consideration (with the Per Share Stock Consideration based on the closing price of the shares of Parent Common Stock on the last trading day prior to the closing date of the Merger) less the exercise price payable in respect of such Company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the satisfaction of various customary closing conditions, including, among others, the adoption and approval of the Merger Agreement by the Company’s shareholders, the Registration Statement being declared effective by the SEC and receipt of required regulatory approvals, including under the Hart-Scott-Rodino Antitrust Improvements Act of 1976.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warranties and covenants, including covenants relating to the conduct of the Company’s business between the signing of the Merger Agreement and the completion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contains customary termination provisions, including the right of either party to terminate the agreement under specified circumstances, including if the Merger is not consummated on or before July 29, 2027 (the “End Date”), provided that either the Company or Parent may extend the End Date to January 29, 2028 in the event that (i) the requisite antitrust approvals have not been obtained, (ii) required shareholder approval is not obtained, or (iii) certain closing conditions are not satisfied. In addition, upon termination of the Merger Agreement under specified circumstances, including if the Company terminates the Merger Agreement to enter into an alternative acquisition agreement with respect to a Superior Proposal (as defined in the Merger Agreement), the Company would be required to pay Parent a termination fee of $</w:t>
      </w:r>
      <w:bookmarkStart w:id="893" w:name="xdx_905_ecustom--PayToParentTerminationF"/>
      <w:bookmarkEnd w:id="893"/>
      <w:r>
        <w:rPr>
          <w:rFonts w:ascii="Times New Roman;Times;Serif" w:hAnsi="Times New Roman;Times;Serif"/>
          <w:b w:val="false"/>
          <w:i w:val="false"/>
          <w:caps w:val="false"/>
          <w:smallCaps w:val="false"/>
          <w:sz w:val="20"/>
        </w:rPr>
        <w:t>9,660,336. Furthermore, Parent will be required to pay to the Company a termination fee of $</w:t>
      </w:r>
      <w:bookmarkStart w:id="894" w:name="xdx_904_ecustom--PayToCompanyTermination"/>
      <w:bookmarkEnd w:id="894"/>
      <w:r>
        <w:rPr>
          <w:rFonts w:ascii="Times New Roman;Times;Serif" w:hAnsi="Times New Roman;Times;Serif"/>
          <w:b w:val="false"/>
          <w:i w:val="false"/>
          <w:caps w:val="false"/>
          <w:smallCaps w:val="false"/>
          <w:sz w:val="20"/>
        </w:rPr>
        <w:t>22,540,785 if the Company terminates the Merger Agreement because of a failure of Parent to consummate the Merger when required to do so by the Merger Agreement. In no event will either party be required to pay its applicable termination fee on more than one occasion.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consummated, the Company will become a private company and the Company’s common stock will be delisted from The Nasdaq Capital Market and deregistered under the Securities Exchange Act of 1934, as amended. No adjustments have been made to the accompanying financial statements related to the Merger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Parent entered into a voting agreement (the “Voting Agreement”) with the Company and certain shareholders of the Company (the “Specified Shareholders”). Pursuant to the Voting Agreement, each of the Specified Shareholders agreed, among other things, to vote, or cause to be voted, all of the shares beneficially owned by such Specified Shareholder (the “Subject Shares”) in favor of the adoption of the Merger Agreement and against any alternative acquisition proposal, in each case, subject to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the Merger Agreement, the Specified Shareholders collectively held approximately </w:t>
      </w:r>
      <w:bookmarkStart w:id="895" w:name="xdx_908_ecustom--VotingPercentRate_iI_pi"/>
      <w:bookmarkEnd w:id="895"/>
      <w:r>
        <w:rPr>
          <w:rFonts w:ascii="Times New Roman;Times;Serif" w:hAnsi="Times New Roman;Times;Serif"/>
          <w:b w:val="false"/>
          <w:i w:val="false"/>
          <w:caps w:val="false"/>
          <w:smallCaps w:val="false"/>
          <w:sz w:val="20"/>
        </w:rPr>
        <w:t>38.9% of the total voting power of the Company. The Voting Agreement also contains customary termination provisions and restrictions on, among other things, the transfer of the Subject Shares held by the Specified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CMp Distribution and Intellectual Property Rights Agreements and Termination of SI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2026, the Company and InfuSystem terminated the Distribution Agreement with CMp pursuant to its terms. Termination of the Distribution Agreement also terminated the Intellectual Property Rights Agreement. Also in July 2026, the Company delivered written notice to InfuSystem exercising its right to dissolve SI Technologies effective 180 days following receipt of the notice, pursuant to the terms of the entity’s limited liability company agreement. As a result, the Company wrote down the carrying value of its investment in SI Technologies to </w:t>
      </w:r>
      <w:bookmarkStart w:id="896" w:name="xdx_908_eus-gaap--Investments_iI_dc_c202"/>
      <w:bookmarkEnd w:id="896"/>
      <w:r>
        <w:rPr>
          <w:rFonts w:ascii="Times New Roman;Times;Serif" w:hAnsi="Times New Roman;Times;Serif"/>
          <w:b w:val="false"/>
          <w:i w:val="false"/>
          <w:caps w:val="false"/>
          <w:smallCaps w:val="false"/>
          <w:sz w:val="20"/>
        </w:rPr>
        <w:t>zero in July 2026.</w:t>
      </w:r>
    </w:p>
    <w:p>
      <w:pPr>
        <w:pStyle w:val="TextBody"/>
        <w:bidi w:val="0"/>
        <w:spacing w:before="0" w:after="0"/>
        <w:ind w:left="0" w:right="0" w:hanging="0"/>
        <w:jc w:val="both"/>
        <w:rPr>
          <w:caps w:val="false"/>
          <w:smallCaps w:val="false"/>
        </w:rPr>
      </w:pPr>
      <w:bookmarkStart w:id="897" w:name="xdx_81A_zxpSJHuohrEd"/>
      <w:bookmarkEnd w:id="89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8" w:name="sp_008"/>
      <w:bookmarkEnd w:id="89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the financial condition and results of operations of Sanara MedTech Inc. (together with its wholly owned or majority-owned subsidiaries on a consolidated basis, the “Company,” “Sanara MedTech,” “Sanara,” “our,” “us,” or “we”) should be read in conjunction with the “Management’s Discussion and Analysis of Financial Condition and Results of Operations” section and audited consolidated financial statements and related notes thereto included in our Annual Report on Form 10-K for the year ended December 31, 2025 and with the unaudited consolidated financial statements and related notes thereto presented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within the meaning of the federal securities laws. Forward-looking statements generally relate to future events or our future financial or operating performance, including topics such as new products under development. In some cases, you can identify forward-looking statements because they contain words such as “aims,” “anticipates,” “believes,” “contemplates,” “continue,” “could,” “estimates,” “expects,” “forecast,” “guidance,” “intends,” “may,” “plans,” “possible,” “potential,” “predicts,” “preliminary,” “projects,” “seeks,” “should,” “target,” “will” or “would” or the negative of these words, variations of these words or other similar terms or expressions that concern our expectations, strategy, plans, or intentions. Such forward-looking statements are subject to certain risks, uncertainties and assumptions relating to factors that could cause actual results to differ materially from those anticipated in such statements, including, without limitation,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shortfalls in forecasted revenue growth;</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future capital requirements;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our debt obligations;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consummate the previously announced merger transaction with MiMedx Group, Inc. and realize the anticipated benefits and synergies expected from the Merger (as defined in Recent Developments below) once consummated;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new products and products under development, including the manufacturing, distribution, marketing and sale of such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recruit key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intense competition in the markets in which we operate and our ability to compete within our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products to obtain market acceptance;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security breaches and other disruptions;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effective internal controls over financial reporting;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further grow clinical acceptance and adoption of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competitors inventing products that are superior to ours;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of, or changes in, our distribution model, consumer base or the supply of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third-party assessments to demonstrate desired outcomes in proposed endpoints;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the ability of our research and development partners to protect the proprietary rights to technologies used in certain of our products and the impact of any claim that we have infringed on intellectual property rights of others;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technologies and products that we license from third parties;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current and future laws, rules and regulations relating to the labeling, marketing and sale of our products, and our ability to comply with the various laws, rules and regulations applicable to our business;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defects, failures or quality issues associated with our products.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these and other factors that may affect our business and that could cause the actual results to differ materially from those anticipated in forward-looking statements, see “Risk Factors” in Part I, Item 1A. of our Annual Report on Form 10-K for the year ended December 31, 2025, and Part II, Item 1A. “Risk Factors” and elsewhere in this Quarterly Report on Form 10-Q. Forward-looking statements speak only as of the date on which they are made, and we do not assume any obligation to update these forward-looking statements, except to the extent required by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medical technology company focused on developing and commercializing transformative technologies to improve clinical outcomes and reduce healthcare expenditures in the surgical market. Our products are designed to achieve our goal of providing better clinical outcomes at a lower overall cost for healthcare systems. We strive to be one of the most innovative and comprehensive providers of effective surgical solutions and are continually seeking to expand our offerings for patients requiring surgical treatments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market and sell soft tissue repair and bone fusion products for use in the operating room or other sterile environments. Our soft tissue repair products include, among other products, our lead product, CellerateRX Surgical Powder (“CellerateRX Surgical”), a hydrolyzed collagen that aids in the management of surgical wounds, BIASURGE Advanced Surgical Solution (“BIASURGE”), a sterile no-rinse, advanced surgical solution used for wound irrigation and TEXAGEN Amniotic Membrane Allograft (“TEXAGEN”), a multi-layer amniotic membrane allograft used as an anatomical barrier with robust handling that can be sutured for securement if needed. Our bone fusion products include, among other products, BiFORM Bioactive Moldable Matrix (“BiFORM”), an osteoconductive, bioactive, porous implant that allows for bony ingrowth across the graft site, ACTIGEN Verified Inductive Bone Matrix (“ACTIGEN”), a naturally derived, differentiated allograft matrix with robust handling properties, and ALLOCYTE Plus Advanced Viable Bone Matrix (“ALLOCYTE Plus”), a human allograft cellular bone matrix containing bone-derived progenitor cells and conformable bone fibers.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utilize an in-house research and development team, Rochal Technologies. We are advancing a strong pipeline of next-generation products that supports and extends our surgical strategy of “Prepare, Promote and Protect.”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Key Products and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and distribute surgical products to surgeons at hospitals and surgical centers. Our products are primarily sold in the U.S. surgical tissue repair market. We believe that we have the ability to drive our product pipeline from concept to preclinical and clinical development while meeting quality and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CellerateRX Surgical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CellerateRX Surgical is a Type I bovine hydrolyzed collagen indicated for the management of surgical, traumatic, and partial and full-thickness wounds as well as first- and second-degree burns. It is manufactured with a proprietary process. CellerateRX Surgical is sterilized, packaged and designed specifically for use in the operating room. CellerateRX Surgical is primarily purchased by hospitals and ambulatory surgical centers for use by surgeons to treat surgical wounds, including those associated with orthopedic, spine and trauma procedures. Additional surgical wounds that often benefit from the use of CellerateRX Surgical include general, vascular, plastic/reconstructive, cardiovascular, gynecologic, and urologic related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CellerateRX Surgical is used in operative cases where patients might have trouble healing normally due to underlying health complications. There is always a risk of complication with surgical wounds. This is especially true in patients with certain comorbidities, including obesity, diabetes and hypertension. These complications can include surgical wound infections, dehiscence (where an incision opens after primary closure) and necrosis. Surgical wound complications have become increasingly problematic due to the high rates of surgical patient comorbidities and the financial strain on insurance payors as well as hospitals that suffer exorbitant costs for readmission of these patients within 90 days of surgery. Surgeons use CellerateRX Surgical to complement the body’s normal healing process. By supporting the body to heal normally without complications, improved patient outcomes are achieved, thereby reducing downstream costs related to complications (such as re-operation, longer hospitalization, re-admittance, extended rehabilitative care and other additional treatments).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BIASURGE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BIASURGE is a 510(k) cleared sterile no-rinse, advanced surgical solution used for wound irrigation. It contains an antimicrobial preservative effective against a broad spectrum of pathogenic microorganisms in the solution. BIASURGE is indicated for use in the mechanical cleansing and removal of debris, including microorganisms, from surgical wounds. In both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testing of implant materials and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testing of dermal materials, BIASURGE was proved to eliminate biofilm-producing microbes and prevent them from attaching to the implant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TEXAGEN is a multi-layer amniotic membrane allograft used as an anatomical barrier with robust handling that can be sutured for securement if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BiFORM is an osteoconductive, bioactive, porous implant that allows for bony ingrowth across the graft site. It can be hydrated and used as a strip or molded into a putty to fill a bone defect.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ACTIGEN is a naturally derived, differentiated allograft matrix with robust handling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ALLOCYTE Plus is a human allograft cellular bone matrix containing bone-derived progenitor cells and conformable bone fibers. These viable cellular allografts are ready to use upon thawing and have fibrous handling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FORTIFY TRG Tissue Repair Graft (“FORTIFY TRG”) is a freeze-dried, multi-layer small intestinal submucosa extracellular matrix sheet. The graft is 510(k) cleared for implantation to reinforce soft tissue, is terminally sterilized, has a thin profile, is available in multiple sizes, and can be cut to size to accommodate the patient’s anatomy. FORTIFY TRG is provided sterile and can be hydrated with autologous blood fluid.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portfolio includes other products that have an insignificant impact on our revenue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Shift in Strategy and Discontinuance of Value-Based Wound Care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company’s main source of revenue has consistently been from soft tissue repair and bone fusion products for the surgical market. Additionally, we generate a smaller portion of revenue from products sold in the post-acute setting. To further support our surgical business, particularly in wound care, we launched a value-based wound care services initiative designed to enhance outcomes while complementing our offerings in both surgical and post-acute markets. This post-acute strategy, which we referred to as Tissue Health Plus (“THP”), was focused on providing value-based wound care services. Through THP, we planned to offer a first of its kind value-based wound care program to payers and risk-bearing entities. This program was designed to enable payers to divest wound care spend risk, reduce wound related hospitalizations and improve patient quality of life. To further develop our value-based wound care strategy, we executed an investment and acquisition strategy to build telehealth services and acquire technologies to support the THP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second quarter of 2024, we managed our business on the basis of two operating and reportable segments: the Sanara Surgical segment and the THP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 in incubating THP was coupled with a goal to find an outside partner to buy or invest in the platform. Starting in 2024, we held several meetings and did significant outreach to find potential funding for THP. This effort included meetings with venture capital firms, strategic buyers, provider service companies, insurance companies and private equity firms. During the third quarter of 2025, following authorization from our Board of Directors, management initiated a review of strategic options for THP and formally engaged an investment bank to search for potential investors or purchasers. By mid-September 2025, we concluded that these efforts were unlikely to succeed within the timeline allocated by the Board of Directors and ended our engagement with the investment bank. Persistent losses related to THP and a lack of any firm commitments from potential investors led management and our Board of Directors to decide to discontinue THP’s operations in mid-September 2025 and shift our focus exclusively on products and technologies for use in the surgical 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decision, THP met the accounting requirements to be classified under discontinued operations as of September 30, 2025. In accordance with generally accepted accounting principles in the United States (“GAAP”), the operations of THP are presented as discontinued operations in our Consolidated Balance Sheets and Consolidated Statements of Operations and, as such, have been excluded from continuing operations for all periods presented. As a result of the discontinuation of THP, we now have a single reportable segment. This determination is in accordance with Accounting Standards Codification (“ASC”) 280,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Tufts University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we signed an exclusive license agreement with Tufts University (“Tufts”) to develop and commercialize patented technology covering 18 unique collagen peptides. As part of this agreement, we formed a new subsidiary, Sanara Collagen Peptides, LLC (“SCP”), and issued 10% of SCP’s outstanding units to Tufts. SCP had exclusive rights to develop and commercialize new products based on the licensed patents and patents pending. SCP would pay royalties to Tufts based on net sales of licensed products and technologies. Under the exclusive license agreement, royalties would be calculated at a rate of 1.5% or 3.0%, depending on the type of product or technology developed. SCP would pay Tufts a minimum annual royalty of $50,000 on January 1 of the year following the first anniversary of the first commercial sale of the licensed products or technologies. SCP would pay Tufts a $100,000 minimum annual royalty on January 1 of each subsequent year during the royalty term specified in the exclusive license agreement. There were no material accounting impacts and no royalties paid related to this arrangement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shift in strategy to focus on developing and commercializing our surgical product portfolio, on March 12, 2026, we delivered written notice to Tufts that terminated the exclusive license agreement, effective April 20, 2026. In July 2026, we dissolved SCP and eliminated the 10% equity ownership interest in SCP held by Tufts.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Vizient Innovative Technology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2026, we announced that our BIASURGE product received an Innovative Technology contract from Vizient Inc. (“Vizient”), the nation’s largest provider-driven healthcare performance improvement company. The contract was awarded based on the recommendation of BIASURGE by hospital experts who serve on one of Vizient’s client-led councils, and it signifies to Vizient clients BIASURGE’s unique qualities that potentially bring improvement to the healthcare industry. The Innovative Technology contract offers Vizient’s extensive network of healthcare facility customers access to BIASURGE at contracted pricing and pre-negotiated terms, effective January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Peer-Reviewed Study on CellerateRX Surgical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11, 2026, we announced the publication of a peer-reviewed study evaluating the economic and clinical value of CellerateRX Surgical in the </w:t>
      </w:r>
      <w:r>
        <w:rPr>
          <w:rFonts w:ascii="Times New Roman;Times;Serif" w:hAnsi="Times New Roman;Times;Serif"/>
          <w:b w:val="false"/>
          <w:i/>
          <w:caps w:val="false"/>
          <w:smallCaps w:val="false"/>
          <w:sz w:val="20"/>
        </w:rPr>
        <w:t>Journal of Medical Economics</w:t>
      </w:r>
      <w:r>
        <w:rPr>
          <w:rFonts w:ascii="Times New Roman;Times;Serif" w:hAnsi="Times New Roman;Times;Serif"/>
          <w:b w:val="false"/>
          <w:i w:val="false"/>
          <w:caps w:val="false"/>
          <w:smallCaps w:val="false"/>
          <w:sz w:val="20"/>
        </w:rPr>
        <w:t>. The study demonstrated cost savings and improved health outcomes associated with the use of CellerateRX Surgical as an adjunct to the standard of care for high-risk spinal surgery patients, compared to the standard of care alone.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we entered into an Agreement and Plan of Merger (the “Merger Agreement”) with MiMedx Group, Inc., a Florida corporation (“Parent”), and Mustang Merger Sub, Inc., a Texas corporation and a wholly-owned subsidiary of Parent (“Merger Subsidiary”). Upon the terms and conditions set forth in the Merger Agreement, Merger Subsidiary will be merged with and into the Company (the “Merger”), with the Company surviving the Merger as a wholly-owned subsidiary of Parent. The Merger is expected to close by the end of the year, subject to approval by our shareholders, the receipt of required regulatory approvals and other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each issued and outstanding share of our common stock (other than certain excluded shares and shares held by shareholders who properly exercise appraisal rights) will be cancelled and converted into the right to receive $33.00 per share in cash, without interest (the “Per Share Cash Consideration”), and 0.4735 shares (the “Per Share Stock Consideration,” and together with the Per Share Cash Consideration, the “Merger Consideration”) of common stock, par value $0.001, of Parent (the “Parent Common Stock”). In addition, at or immediately prior to the effective time of the Merger, our outstanding restricted stock will be cancelled and converted into the right to receive the per share Merger Consideration and our outstanding stock options will be cancelled and converted into the right to receive an amount in cash equal to the Merger Consideration (with the value of the Per Share Stock Consideration based on the closing price of the shares of Parent Common Stock on the last trading day prior to the closing date of the Merger) less the exercise price payable in respect of such stock option, in each case, subject to the terms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the satisfaction of various customary closing conditions, including, among others, the adoption and approval of the Merger Agreement by our shareholders, and a registration statement on Form S-4 being declared effective by the Securities and Exchange Commission (the “SEC”) and receipt of required regulatory approvals, including under the Hart-Scott-Rodino Antitrust Improvements Act of 1976.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contains customary termination provisions, including the right of either party to terminate the agreement under specified circumstances, including if the Merger is not consummated on or before July 29, 2027, subject to extension under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termination of the Merger Agreement under specified circumstances, including if we terminate the Merger Agreement to enter into an alternative acquisition agreement with respect to a Superior Proposal (as defined in the Merger Agreement), we would be required to pay Parent a termination fee of $9,660,336. Furthermore, Parent will be required to pay us a termination fee of $22,540,785 if we terminate the Merger Agreement because of a failure of Parent to consummate the Merger when required to do so by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Merger Agreement is attached as Exhibit 2.1 to our Current Report on Form 8-K/A dated August 11, 2026. The foregoing description of the Merger Agreement does not purport to be complete and is qualified in its entirety by reference to the full text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13, “Subsequent Events” in Item 1. of this Quarterly Report on Form 10-Q for further details regarding the pending Merger.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derived primarily from sales of our soft tissue repair and bone fusion products to hospitals and surgical centers. In particular, the substantial majority of our product sales revenue is derived from sales of CellerateRX Surgical. Our revenue is driven by direct orders shipped by us to our customers, and, to a lesser extent, direct sales to customers through delivery at the time of procedure by one of our sales representatives. We generally recognize revenue when a purchase order is received by us from the customer, and our product is received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streams from product sales are summarized below for the periods presented:</w:t>
      </w:r>
    </w:p>
    <w:p>
      <w:pPr>
        <w:pStyle w:val="TextBody"/>
        <w:bidi w:val="0"/>
        <w:spacing w:before="0" w:after="0"/>
        <w:ind w:left="0" w:right="0" w:hanging="0"/>
        <w:jc w:val="both"/>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2480"/>
        <w:gridCol w:w="60"/>
        <w:gridCol w:w="140"/>
        <w:gridCol w:w="1100"/>
        <w:gridCol w:w="60"/>
        <w:gridCol w:w="60"/>
        <w:gridCol w:w="140"/>
        <w:gridCol w:w="1100"/>
        <w:gridCol w:w="60"/>
        <w:gridCol w:w="60"/>
        <w:gridCol w:w="140"/>
        <w:gridCol w:w="1100"/>
        <w:gridCol w:w="60"/>
        <w:gridCol w:w="60"/>
        <w:gridCol w:w="140"/>
        <w:gridCol w:w="1100"/>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2480" w:type="dxa"/>
            <w:tcBorders/>
            <w:shd w:fill="CCEEFF" w:val="clear"/>
            <w:vAlign w:val="center"/>
          </w:tcPr>
          <w:p>
            <w:pPr>
              <w:pStyle w:val="TableContents"/>
              <w:bidi w:val="0"/>
              <w:spacing w:before="0" w:after="283"/>
              <w:jc w:val="both"/>
              <w:rPr/>
            </w:pPr>
            <w:r>
              <w:rPr/>
              <w:t>Soft tissue repair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25,242,592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22,661,457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50,185,537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43,193,897</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both"/>
              <w:rPr/>
            </w:pPr>
            <w:r>
              <w:rPr/>
              <w:t>Bone fusion products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2,894,165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3,142,795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5,749,754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6,044,451</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both"/>
              <w:rPr>
                <w:b/>
              </w:rPr>
            </w:pPr>
            <w:r>
              <w:rPr>
                <w:b/>
              </w:rPr>
              <w:t>Total Net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28,136,757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25,804,252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55,935,291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49,238,348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consists primarily of finished goods purchases, raw material costs for certain components sourced directly by us, shipping and handling and all related royalties due as a result of the sale of our products. Our gross profit represents total net revenue less the cost of goods sold, and gross margin represents gross profit expressed as a percentage of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consists primarily of salaries, sales commissions, benefits, bonuses and share-based compensation. SG&amp;A also includes outside legal counsel fees, audit fees, insurance premiums, rent and other corporate expenses. We expense all SG&amp;A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includes costs related to enhancements to our currently available products and additional investments in our product and technology development pipeline. This includes personnel-related expenses, including salaries, share-based compensation and benefits for all personnel directly engaged in R&amp;D activities, contract services, materials, prototype expenses and allocated overhead, which is comprised of compensation and benefits, lease expense and other facilities-related costs. We expense R&amp;D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includes depreciation of fixed assets and amortization of intangible assets that have a finite life, such as product licenses, patents and intellectual property, customer relationships and assembled workforces.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is primarily comprised of interest expense, our share of losses from equity method investments and other nonoperating activities.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information about our results from continuing operations and Adjusted EBITDA (as described below) for the periods presented:</w:t>
      </w:r>
    </w:p>
    <w:p>
      <w:pPr>
        <w:pStyle w:val="TextBody"/>
        <w:bidi w:val="0"/>
        <w:spacing w:before="0" w:after="0"/>
        <w:ind w:left="0" w:right="0" w:hanging="0"/>
        <w:jc w:val="both"/>
        <w:rPr>
          <w:caps w:val="false"/>
          <w:smallCaps w:val="false"/>
        </w:rPr>
      </w:pPr>
      <w:r>
        <w:rPr>
          <w:caps w:val="false"/>
          <w:smallCaps w:val="false"/>
        </w:rPr>
        <w:t> </w:t>
      </w:r>
    </w:p>
    <w:tbl>
      <w:tblPr>
        <w:tblW w:w="10125" w:type="dxa"/>
        <w:jc w:val="left"/>
        <w:tblInd w:w="0" w:type="dxa"/>
        <w:tblLayout w:type="fixed"/>
        <w:tblCellMar>
          <w:top w:w="0" w:type="dxa"/>
          <w:left w:w="0" w:type="dxa"/>
          <w:bottom w:w="0" w:type="dxa"/>
          <w:right w:w="0" w:type="dxa"/>
        </w:tblCellMar>
      </w:tblPr>
      <w:tblGrid>
        <w:gridCol w:w="4565"/>
        <w:gridCol w:w="60"/>
        <w:gridCol w:w="140"/>
        <w:gridCol w:w="1100"/>
        <w:gridCol w:w="95"/>
        <w:gridCol w:w="60"/>
        <w:gridCol w:w="140"/>
        <w:gridCol w:w="1100"/>
        <w:gridCol w:w="60"/>
        <w:gridCol w:w="60"/>
        <w:gridCol w:w="140"/>
        <w:gridCol w:w="1100"/>
        <w:gridCol w:w="95"/>
        <w:gridCol w:w="60"/>
        <w:gridCol w:w="140"/>
        <w:gridCol w:w="1100"/>
        <w:gridCol w:w="110"/>
      </w:tblGrid>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565" w:type="dxa"/>
            <w:tcBorders/>
            <w:shd w:fill="CCEEFF" w:val="clear"/>
            <w:vAlign w:val="center"/>
          </w:tcPr>
          <w:p>
            <w:pPr>
              <w:pStyle w:val="TableContents"/>
              <w:bidi w:val="0"/>
              <w:spacing w:before="0" w:after="283"/>
              <w:jc w:val="both"/>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28,136,757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25,804,252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55,935,291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49,238,348</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1,981,347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1,937,282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3,904,936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3,772,249</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22,601,690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19,634,319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44,483,210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38,763,527</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1,154,232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1,056,796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1,913,824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2,007,155</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619,111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688,546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1,206,363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1,382,578</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expense</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2,191,521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1,987,050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4,440,415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3,433,146</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b/>
              </w:rPr>
            </w:pPr>
            <w:r>
              <w:rPr>
                <w:b/>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(411,144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(13,457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(120,307</w:t>
            </w:r>
          </w:p>
        </w:tc>
        <w:tc>
          <w:tcPr>
            <w:tcW w:w="110" w:type="dxa"/>
            <w:tcBorders/>
            <w:shd w:fill="CCEEFF" w:val="clear"/>
            <w:vAlign w:val="center"/>
          </w:tcPr>
          <w:p>
            <w:pPr>
              <w:pStyle w:val="TableContents"/>
              <w:bidi w:val="0"/>
              <w:spacing w:before="0" w:after="283"/>
              <w:jc w:val="left"/>
              <w:rPr>
                <w:b/>
              </w:rPr>
            </w:pPr>
            <w:r>
              <w:rPr>
                <w:b/>
              </w:rPr>
              <w:t>)</w:t>
            </w:r>
          </w:p>
        </w:tc>
      </w:tr>
      <w:tr>
        <w:trPr/>
        <w:tc>
          <w:tcPr>
            <w:tcW w:w="45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5,010,778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4,719,827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9,272,946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7,414,885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of $7,021 and $12,482 was reclassified as continuing operations in the three and six months ended June 30, 2025, respectively, and is therefore no longer reflected in discontinued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other expense included interest expense, share of losses from equity method investments and loss on disposal of property and equipment, offset by interest income. For the three months ended June 30, 2025, other expense included interest expense and share of losses from equity method investments. For the six months ended June 30, 2025, other expense included interest expense and share of losses from equity method investments, offset by interest income and gain on disposal of property and equipment.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financial measure. For more information, see the “Adjusted EBITDA” section below.</w:t>
            </w:r>
          </w:p>
        </w:tc>
      </w:tr>
    </w:tbl>
    <w:p>
      <w:pPr>
        <w:pStyle w:val="TextBody"/>
        <w:bidi w:val="0"/>
        <w:spacing w:before="0" w:after="0"/>
        <w:ind w:left="63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Revenue.</w:t>
      </w:r>
      <w:r>
        <w:rPr>
          <w:rFonts w:ascii="Times New Roman;Times;Serif" w:hAnsi="Times New Roman;Times;Serif"/>
          <w:b w:val="false"/>
          <w:i w:val="false"/>
          <w:caps w:val="false"/>
          <w:smallCaps w:val="false"/>
          <w:sz w:val="20"/>
        </w:rPr>
        <w:t xml:space="preserve"> For the three months ended June 30, 2026, we generated net revenue of $28.1 million compared to $25.8 million for the three months ended June 30, 2025, a 9% increase over the prior year period. For the six months ended June 30, 2026, we generated net revenue of $55.9 million compared to $49.2 million for the six months ended June 30, 2025, a 14% increase over the prior year period. Higher net revenue for the three months ended June 30, 2026 was driven by an increase of $2.6 million, or 11%, in sales of soft tissue repair products, including CellerateRX Surgical, BIASURGE and FORTIFY TRG, offset by a slight decrease of $0.2 million, or 8%, in sales of bone fusion products. Higher net revenue for the six months ended June 30, 2026 was driven by an increase of $7.0 million, or 16%, in sales of soft tissue repair products, including CellerateRX Surgical, BIASURGE and FORTIFY TRG, offset by a slight decrease of $0.3 million, or 5%, in sales of bone fusion products. These increases were supported by increased market penetration, geographic expansion and our strategy to continue expanding and developing our independent distribution network in both new and existing U.S.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Cost of Goods Sold. </w:t>
      </w:r>
      <w:r>
        <w:rPr>
          <w:rFonts w:ascii="Times New Roman;Times;Serif" w:hAnsi="Times New Roman;Times;Serif"/>
          <w:b w:val="false"/>
          <w:i w:val="false"/>
          <w:caps w:val="false"/>
          <w:smallCaps w:val="false"/>
          <w:sz w:val="20"/>
        </w:rPr>
        <w:t>Cost of goods sold for the three months ended June 30, 2026 was $2.0 million compared to $1.9 million for the three months ended June 30, 2025. Cost of goods sold for the six months ended June 30, 2026 was $3.9 million compared to $3.8 million for the six months ended June 30, 2025. Higher cost of goods sold in the three and six months ended June 30, 2026 was related to the increase in net revenue of CellerateRX Surgical.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Gross Profit.</w:t>
      </w:r>
      <w:r>
        <w:rPr>
          <w:rFonts w:ascii="Times New Roman;Times;Serif" w:hAnsi="Times New Roman;Times;Serif"/>
          <w:b w:val="false"/>
          <w:i w:val="false"/>
          <w:caps w:val="false"/>
          <w:smallCaps w:val="false"/>
          <w:sz w:val="20"/>
        </w:rPr>
        <w:t xml:space="preserve"> We generated gross profit of $26.2 million for the three months ended June 30, 2026 compared to $23.9 million for the three months ended June 30, 2025, a 10% increase over the prior year period. We generated gross profit of $52.0 million for the six months ended June 30, 2026 compared to $45.5 million for the six months ended June 30, 2025, a 14% increase over the prior year period. Gross margin was approximately 93% and 92% for the three and six months ended June 30, 2026 and 2025, respectively. Higher gross profit and margin for the three and six months ended June 30, 2026 was primarily due to the net revenue growth factors above and product mix.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Selling, general and administrative</w:t>
      </w:r>
      <w:r>
        <w:rPr>
          <w:rFonts w:ascii="Times New Roman;Times;Serif" w:hAnsi="Times New Roman;Times;Serif"/>
          <w:b w:val="false"/>
          <w:i w:val="false"/>
          <w:caps w:val="false"/>
          <w:smallCaps w:val="false"/>
          <w:sz w:val="20"/>
        </w:rPr>
        <w:t>. SG&amp;A for the three months ended June 30, 2026 was $22.6 million compared to $19.6 million for the three months ended June 30, 2025. SG&amp;A for the six months ended June 30, 2026 was $44.5 million compared to $38.8 million for the six months ended June 30, 2025. Higher SG&amp;A in the three months ended June 30, 2026 was primarily due to increased direct sales and marketing expenses, which accounted for approximately $1.2 million of the increase, approximately $0.6 million related to compensation expense and approximately $1.1 million related to legal and advisory services associated with corporate strategic initiatives. Higher SG&amp;A in the six months ended June 30, 2026 was primarily due to increased direct sales and marketing expenses, which accounted for approximately $3.1 million of the increase, approximately $1.1 million related to compensation expense, approximately $1.1 million related to legal and advisory services associated with corporate strategic initiatives and approximately $0.2 million related to contracted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Research and development.</w:t>
      </w:r>
      <w:r>
        <w:rPr>
          <w:rFonts w:ascii="Times New Roman;Times;Serif" w:hAnsi="Times New Roman;Times;Serif"/>
          <w:b w:val="false"/>
          <w:i w:val="false"/>
          <w:caps w:val="false"/>
          <w:smallCaps w:val="false"/>
          <w:sz w:val="20"/>
        </w:rPr>
        <w:t xml:space="preserve"> R&amp;D for the three months ended June 30, 2026 was $1.2 million compared to $1.1 million for the three months ended June 30, 2025. R&amp;D for the six months ended June 30, 2026 was $1.9 million compared to $2.0 million for the six months ended June 30, 2025. Higher R&amp;D for the three months ended June 30, 2026 and lower R&amp;D for the six months ended June 30, 2026 was primarily due to the timing of product enhancement initiatives associated with our soft tissue repair products when compared to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Depreciation and amortization</w:t>
      </w:r>
      <w:r>
        <w:rPr>
          <w:rFonts w:ascii="Times New Roman;Times;Serif" w:hAnsi="Times New Roman;Times;Serif"/>
          <w:b w:val="false"/>
          <w:i w:val="false"/>
          <w:caps w:val="false"/>
          <w:smallCaps w:val="false"/>
          <w:sz w:val="20"/>
        </w:rPr>
        <w:t>. Depreciation and amortization for the three months ended June 30, 2026 was $0.6 million compared to $0.7 million for the three months ended June 30, 2025. Depreciation and amortization for the six months ended June 30, 2026 was $1.2 million compared to $1.4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income (expense).</w:t>
      </w:r>
      <w:r>
        <w:rPr>
          <w:rFonts w:ascii="Times New Roman;Times;Serif" w:hAnsi="Times New Roman;Times;Serif"/>
          <w:b w:val="false"/>
          <w:i w:val="false"/>
          <w:caps w:val="false"/>
          <w:smallCaps w:val="false"/>
          <w:sz w:val="20"/>
        </w:rPr>
        <w:t xml:space="preserve"> Other expense for the three months ended June 30, 2026 was $2.2 million compared to $2.0 million for the three months ended June 30, 2025. Other expense for the six months ended June 30, 2026 was $4.4 million compared to $3.4 million for the six months ended June 30, 2025. The increase in other expense for the three and six months ended June 30, 2026 was primarily due to higher interest expense related to the CRG Term Loan and our share of losses from equity method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income (loss) from continuing operations.</w:t>
      </w:r>
      <w:r>
        <w:rPr>
          <w:rFonts w:ascii="Times New Roman;Times;Serif" w:hAnsi="Times New Roman;Times;Serif"/>
          <w:b w:val="false"/>
          <w:i w:val="false"/>
          <w:caps w:val="false"/>
          <w:smallCaps w:val="false"/>
          <w:sz w:val="20"/>
        </w:rPr>
        <w:t xml:space="preserve"> For the three months ended June 30, 2026, we had a net loss from continuing operations of $0.4 million compared to net income from continuing operations of $0.5 million for the three months ended June 30, 2025. For the six months ended June 30, 2026, we had a net loss from continuing operations of $13,457 compared to a net loss from continuing operations of $0.1 million for the six months ended June 30, 2025. Net loss from continuing operations for the three and six months ended June 30, 2026 was primarily due to higher SG&amp;A, interest expense related to the CRG Term Loan and share of losses from equity method investments, partially offset by net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income (loss) from discontinued operations.</w:t>
      </w:r>
      <w:r>
        <w:rPr>
          <w:rFonts w:ascii="Times New Roman;Times;Serif" w:hAnsi="Times New Roman;Times;Serif"/>
          <w:b w:val="false"/>
          <w:i w:val="false"/>
          <w:caps w:val="false"/>
          <w:smallCaps w:val="false"/>
          <w:sz w:val="20"/>
        </w:rPr>
        <w:t xml:space="preserve"> As a result of our decision to discontinue THP, the operating results of THP are reported as discontinued operations in the Consolidated Statements of Operations for all periods presented. Net loss from discontinued operations for the three months ended June 30, 2026 was $41,720 compared to a net loss from discontinued operations of $2.5 million for the three months ended June 30, 2025. Net income from discontinued operations for the six months ended June 30, 2026 was $19,196 compared to a net loss from discontinued operations of $5.4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Adjusted EBITDA.</w:t>
      </w:r>
      <w:r>
        <w:rPr>
          <w:rFonts w:ascii="Times New Roman;Times;Serif" w:hAnsi="Times New Roman;Times;Serif"/>
          <w:b w:val="false"/>
          <w:i w:val="false"/>
          <w:caps w:val="false"/>
          <w:smallCaps w:val="false"/>
          <w:sz w:val="20"/>
        </w:rPr>
        <w:t xml:space="preserve"> We define Adjusted EBITDA as net income (loss) from continuing operations excluding interest expense/income, provision/benefit for income taxes, depreciation and amortization, non-cash share-based compensation expense, change in fair value of earnout liabilities, asset impairment charges, share of losses from equity method investments, gains/losses on the disposal of property and equipment, executive separation costs, and acquisition and other transaction related costs, as each is applicable to the periods presented. Adjusted EBITDA is a non-GAAP measure and should be considered in addition to, not as a substitute for, net income (loss) from continuing operations, cash flow and other measures of financial performance reported in accordance with GAAP.</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Adjusted EBITDA is useful to investors because it facilitates comparisons of our core business operations across periods on a consistent basis. Accordingly, we adjust for certain items when calculating Adjusted EBITDA because we believe that such items are not related to our core business operations. We do not, nor do we suggest that investors should consider these non-GAAP financial measures in isolation from, or as a substitute for, financial information prepared in accordance with GAAP. Material limitations associated with the use of such measures are that they do not reflect all costs included in operating expenses and may not be comparable with similarly named financial measures of other companies. Furthermore, these non-GAAP financial measures are based on subjective determinations of management regarding the nature and classification of events and circumstances. We present these non-GAAP financial measures to provide investors with information to evaluate our operating results in a manner similar to how management evaluates business performance. To compensate for any limitations in such non-GAAP financial measures, management believes that it is useful in understanding and analyzing the results of the business to review both GAAP information and the related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net income (loss) from continuing operations to Adjusted EBITDA for the periods presented:</w:t>
      </w:r>
    </w:p>
    <w:p>
      <w:pPr>
        <w:pStyle w:val="TextBody"/>
        <w:bidi w:val="0"/>
        <w:spacing w:before="0" w:after="0"/>
        <w:ind w:left="0" w:right="0" w:hanging="0"/>
        <w:jc w:val="both"/>
        <w:rPr>
          <w:caps w:val="false"/>
          <w:smallCaps w:val="false"/>
        </w:rPr>
      </w:pPr>
      <w:r>
        <w:rPr>
          <w:caps w:val="false"/>
          <w:smallCaps w:val="false"/>
        </w:rPr>
        <w:t> </w:t>
      </w:r>
    </w:p>
    <w:tbl>
      <w:tblPr>
        <w:tblW w:w="9840" w:type="dxa"/>
        <w:jc w:val="left"/>
        <w:tblInd w:w="0" w:type="dxa"/>
        <w:tblLayout w:type="fixed"/>
        <w:tblCellMar>
          <w:top w:w="0" w:type="dxa"/>
          <w:left w:w="0" w:type="dxa"/>
          <w:bottom w:w="0" w:type="dxa"/>
          <w:right w:w="0" w:type="dxa"/>
        </w:tblCellMar>
      </w:tblPr>
      <w:tblGrid>
        <w:gridCol w:w="4760"/>
        <w:gridCol w:w="60"/>
        <w:gridCol w:w="140"/>
        <w:gridCol w:w="980"/>
        <w:gridCol w:w="95"/>
        <w:gridCol w:w="60"/>
        <w:gridCol w:w="140"/>
        <w:gridCol w:w="980"/>
        <w:gridCol w:w="60"/>
        <w:gridCol w:w="60"/>
        <w:gridCol w:w="140"/>
        <w:gridCol w:w="980"/>
        <w:gridCol w:w="95"/>
        <w:gridCol w:w="60"/>
        <w:gridCol w:w="140"/>
        <w:gridCol w:w="980"/>
        <w:gridCol w:w="110"/>
      </w:tblGrid>
      <w:tr>
        <w:trPr/>
        <w:tc>
          <w:tcPr>
            <w:tcW w:w="4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4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760" w:type="dxa"/>
            <w:tcBorders/>
            <w:shd w:fill="CCEEFF" w:val="clear"/>
            <w:vAlign w:val="center"/>
          </w:tcPr>
          <w:p>
            <w:pPr>
              <w:pStyle w:val="TableContents"/>
              <w:bidi w:val="0"/>
              <w:spacing w:before="0" w:after="283"/>
              <w:jc w:val="both"/>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(411,144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(13,457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(120,307</w:t>
            </w:r>
          </w:p>
        </w:tc>
        <w:tc>
          <w:tcPr>
            <w:tcW w:w="110" w:type="dxa"/>
            <w:tcBorders/>
            <w:shd w:fill="CCEEFF" w:val="clear"/>
            <w:vAlign w:val="center"/>
          </w:tcPr>
          <w:p>
            <w:pPr>
              <w:pStyle w:val="TableContents"/>
              <w:bidi w:val="0"/>
              <w:spacing w:before="0" w:after="283"/>
              <w:jc w:val="left"/>
              <w:rPr/>
            </w:pPr>
            <w:r>
              <w:rPr/>
              <w:t>)</w:t>
            </w:r>
          </w:p>
        </w:tc>
      </w:tr>
      <w:tr>
        <w:trPr/>
        <w:tc>
          <w:tcPr>
            <w:tcW w:w="4760" w:type="dxa"/>
            <w:tcBorders/>
            <w:shd w:fill="FFFFFF" w:val="clear"/>
            <w:vAlign w:val="center"/>
          </w:tcPr>
          <w:p>
            <w:pPr>
              <w:pStyle w:val="TableContents"/>
              <w:bidi w:val="0"/>
              <w:spacing w:before="0" w:after="283"/>
              <w:jc w:val="both"/>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1,810,311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1,791,568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3,609,656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3,108,660</w:t>
            </w:r>
          </w:p>
        </w:tc>
        <w:tc>
          <w:tcPr>
            <w:tcW w:w="11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619,111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688,546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1,206,363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1,382,578</w:t>
            </w:r>
          </w:p>
        </w:tc>
        <w:tc>
          <w:tcPr>
            <w:tcW w:w="11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both"/>
              <w:rPr/>
            </w:pPr>
            <w:r>
              <w:rPr/>
              <w:t>Noncash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1,496,310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1,278,871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2,524,645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2,454,367</w:t>
            </w:r>
          </w:p>
        </w:tc>
        <w:tc>
          <w:tcPr>
            <w:tcW w:w="11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both"/>
              <w:rPr/>
            </w:pPr>
            <w:r>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433,648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195,482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896,155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339,090</w:t>
            </w:r>
          </w:p>
        </w:tc>
        <w:tc>
          <w:tcPr>
            <w:tcW w:w="11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both"/>
              <w:rPr/>
            </w:pPr>
            <w:r>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(10,932</w:t>
            </w:r>
          </w:p>
        </w:tc>
        <w:tc>
          <w:tcPr>
            <w:tcW w:w="110" w:type="dxa"/>
            <w:tcBorders/>
            <w:shd w:fill="CCEEFF" w:val="clear"/>
            <w:vAlign w:val="center"/>
          </w:tcPr>
          <w:p>
            <w:pPr>
              <w:pStyle w:val="TableContents"/>
              <w:bidi w:val="0"/>
              <w:spacing w:before="0" w:after="283"/>
              <w:jc w:val="left"/>
              <w:rPr/>
            </w:pPr>
            <w:r>
              <w:rPr/>
              <w:t>)</w:t>
            </w:r>
          </w:p>
        </w:tc>
      </w:tr>
      <w:tr>
        <w:trPr/>
        <w:tc>
          <w:tcPr>
            <w:tcW w:w="476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(53,814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(3,672</w:t>
            </w:r>
          </w:p>
        </w:tc>
        <w:tc>
          <w:tcPr>
            <w:tcW w:w="110" w:type="dxa"/>
            <w:tcBorders/>
            <w:shd w:fill="FFFFFF" w:val="clear"/>
            <w:vAlign w:val="center"/>
          </w:tcPr>
          <w:p>
            <w:pPr>
              <w:pStyle w:val="TableContents"/>
              <w:bidi w:val="0"/>
              <w:spacing w:before="0" w:after="283"/>
              <w:jc w:val="left"/>
              <w:rPr/>
            </w:pPr>
            <w:r>
              <w:rPr/>
              <w:t>)</w:t>
            </w:r>
          </w:p>
        </w:tc>
      </w:tr>
      <w:tr>
        <w:trPr/>
        <w:tc>
          <w:tcPr>
            <w:tcW w:w="47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separation costs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260,275</w:t>
            </w:r>
          </w:p>
        </w:tc>
        <w:tc>
          <w:tcPr>
            <w:tcW w:w="11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 and other transaction related costs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4,826</w:t>
            </w:r>
          </w:p>
        </w:tc>
        <w:tc>
          <w:tcPr>
            <w:tcW w:w="11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both"/>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5,010,778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4,719,827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9,272,946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7,414,885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of $7,021 and $12,482 was reclassified as continuing operations in the three and six months ended June 30, 2025, respectively, and is therefore no longer reflected in discontinued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$130,174 of share-based compensation related to executive separation costs for the three and six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other transaction related costs are comprised of legal and advisory services related to prospective acquisitions and corporate strategic initiatives.</w:t>
            </w:r>
          </w:p>
        </w:tc>
      </w:tr>
    </w:tbl>
    <w:p>
      <w:pPr>
        <w:pStyle w:val="TextBody"/>
        <w:bidi w:val="0"/>
        <w:spacing w:before="0" w:after="0"/>
        <w:ind w:left="63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our Adjusted EBITDA was $5.0 million compared to $4.7 million for the three months ended June 30, 2025. For the six months ended June 30, 2026, our Adjusted EBITDA was $9.3 million compared to $7.4 million for the six months ended June 30, 2025. Higher Adjusted EBITDA in 2026 was primarily due to net revenue growth offset by increases in SG&amp;A.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June 30, 2026 was $15.4 million, compared to $16.6 million at December 31, 2025. Historically, we have financed our operations primarily from borrowings under our credit facilities and the sale of equity securities. Based on our current plan of operations, we believe our cash and cash equivalents, when combined with expected cash flows from operations, will be sufficient to fund our growth strategy and to meet our anticipated operating expenses and capital expenditures for at least the next 12 months.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future needs for cash to include further development of our product portfolio, clinical studies, and repayment of debt as it becomes due and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outlay associated with winding down THP for the three and six months ended June 30, 2026 was $0.4 million and $0.8 million, respectively. We do not anticipate material cash spend related to winding down THP for the remainder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Applied Asset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we entered into an asset purchase agreement (the “Applied Purchase Agreement”) by and among the Company, Sanara MedTech Applied Technologies, LLC (“SMAT”), The Hymed Group Corporation and Applied Nutritionals, LLC (together with The Hymed Group Corporation, the “Applied Sellers”), and Dr. George D. Petito (the “Owner”), pursuant to which SMAT acquired certain assets of the Applied Sellers and the Owner, including, among others, the Applied Sellers’ and Owner’s intellectual property, manufacturing and related equipment, inventory, rights and claims, other than certain excluded assets (the “Applied Purchased Assets”) and assumed certain Assumed Liabilities (as defined in the Applied Purchase Agreement) upon the terms and subject to the conditions set forth in the Applied Purchase Agreement. The Applied Purchased Assets were purchased for an initial aggregate purchase price of $15.25 million, consisting of (i) $9.75 million in cash (the “Cash Closing Consideration”), (ii) 73,809 shares of our common stock, with an agreed upon value of $3.0 million (the “Stock Closing Consideration”) and (iii) $2.5 million in cash, to be paid in four equal installments on each of the four anniversaries following the Closing (the “Installment Payments”). The first, second and third of four Installment Payments of $625,000 were made in August 2024,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Cash Closing Consideration, Stock Closing Consideration and Installment Payments, the Applied Purchase Agreement provides that the Applied Sellers are entitled to receive up to an additional $10.0 million (the “Applied Earnout”), which is payable to the Applied Sellers in cash, upon the achievement of certain performance thresholds relating to SMAT’s collections from net sales of a collagen-based product currently under development. Upon expiration of the seventh anniversary of the closing, to the extent the Applied Sellers have not earned the entirety of the Applied Earnout, SMAT shall pay the Applied Sellers a pro-rata amount of the Applied Earnout based on collections from net sales of the product, with such amount to be due credited against any Applied Earnout payments already made by SMAT (the “True-Up Payment”). The Applied Earnout, minus the True-Up Payment and any Applied Earnout payments already made by SMAT, may be earned at any point in the future, including after the True-Up Payment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Applied Asset Purchase, we worked to advance the collagen product related to the incentive payment contemplated under the asset purchase agreement. Despite such efforts, we did not receive 510(k) clearance, a U.S. patent was not issued, and no net sales were collected for this product contemplated under the asset purchase agreement and the Petito Services Agreement. After a review of the status of such initiatives, related expenses and the substantial additional expense that would need to be incurred for an uncertain result, and in light of our refocus in strategy to prioritize expanding existing product platforms, on March 31, 2026, we determined that the thresholds necessary to trigger a payment on the earnout would not be met and reduced the contingent consideration liability to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CRG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(the “Closing Date”), we, as borrowers, entered into a Term Loan Agreement (the “CRG Term Loan Agreement”) with the subsidiary guarantors party thereto from time to time (collectively “the Guarantors”), CRG Servicing LLC as administrative agent and collateral agent (the “Agent”), and the lenders party thereto from time to time, providing for a senior secured term loan of up to $55.0 million (the “CRG Term Loan”). In April 2024, our first borrowing (“the First Borrowing”) under the CRG Term Loan of $15.0 million was made to repay our then-existing loan with Cadence Bank (the “Cadence Term Loan”) and to pay certain fees and expenses related to the CRG Term Loan Agreement. The remaining proceeds of $4.5 million were distributed to us. As a result, the Cadence Term Loan was terminated and all outstanding amounts under the Cadence Term Loan were repaid in full and all security interest and other liens granted to or held by Cadence Bank were terminated and released.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2024, we borrowed an additional $15.5 million under the CRG Term Loan Agreement (the “Second Borrowing”). We used $5.0 million of the proceeds of the Second Borrowing for the investment in ChemoMouthpiece, LLC, and for working capital and general corporate purposes. Prior to the CRG Amendment (defined below), pursuant to the CRG Term Loan Agreement, we were entitled to one additional borrowing, which was required to occur on or prior to June 30, 2025 and be at least $5.0 million or a multiple of $5.0 million. On March 19, 2025, we and the Guarantors entered into the First Amendment to Term Loan Agreement with the Agent and the lenders party thereto from time to time (“the CRG Amendment”), which amended the CRG Term Loan Agreement to, among other things, (i) entitle us to two additional borrowings following the Second Borrowing, which borrowings were required to occur on or prior to December 31, 2025, if at all, and (ii) remove the requirement that any borrowing be in whole multiples of $5.0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we borrowed an additional $12.25 million under the CRG Term Loan Agreement (the “Third Borrowing”). The First Borrowing, the Second Borrowing and the Third Borrowing each have a maturity date of March 30, 2029 (the “Maturity Date”), unless earlier prepaid. We used a portion of the proceeds from the Third Borrowing for permitted acquisition opportunities, such as the CarePICS Acquisition in April 2025, and for working capital and general corporate purposes. After the Third Borrowing, we did not take any additional draws under the CRG Term Loan prior to the final draw date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CRG Term Loan bears interest at a per annum rate equal to 13.25% (subject to a 4.00% increase during an event of default), of which 8.00% must be paid in cash and 5.25% may, at our election, be deferred through the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quarterly Payment Date (defined below) by adding such amount to the aggregate principal loan amount, so long as no default or event of default under the CRG Term Loan Agreement has occurred and is continuing. We are required to make quarterly interest payments on the final business day of each calendar quarter following the Closing Date, commencing on the first such date to occur at least 30 days after the Closing Date (each, a “Payment Date”). Interest is payable on each Payment Date in arrears with respect to the time between each Payment Date and upon the payment or prepayment of the CRG Term Loan, ending on the Maturity Date. In addition, we are required to pay an upfront fee of 1.50% of the principal amount of the CRG Term Loan, which is payable as amounts are advanced under the CRG Term Loan on a pro rata basis. We are also required to pay a back-end fee equal to 7.00% of the aggregate principal amount advanced under the CRG Term Loan Agreement. We paid upfront fees of $225,000 on the Closing Date related to the First Borrowing, $232,500 of upfront fees on September 4, 2024 related to the Second Borrowing and $183,750 of upfront fees on March 31, 2025 related to the Third Borrowing. As of June 30, 2026, there was $46.5 million of principal outstanding under the CRG Term Loan. Although the CRG Term Loan permits certain interest to be paid-in-kind, we elected to pay all interest accrued during the three and six months ended June 30, 2026 in cash rather than adding such amount to the outstanding principal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we are required to make mandatory prepayments of the CRG Term Loan with the proceeds of certain assets sales and in the event of a change of control of the Company. In addition, we may make voluntary prepayments of the CRG Term Loan, in whole or in part, at any time. All mandatory and voluntary prepayments of the CRG Term Loan are subject to the payment of prepayment premiums as follows: (i) if prepayment occurs on or prior to the date that is one year following the applicable borrowing (the “Borrowing Date”), an amount equal to 10.0% of the aggregate outstanding principal amount of the CRG Term Loan being prepaid and (ii) if prepayment occurs one year after the applicable Borrowing Date and on or prior to two years following the applicable Borrowing Date, an amount equal to 5.0% of the aggregate outstanding principal amount of the CRG Term Loan being prepaid. No prepayment premium is due on any principal prepaid if prepayment occurs two years or more after the applicable Borrowing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current and future subsidiaries, including the Guarantors, guarantee our obligations under the CRG Term Loan Agreement. As security for our obligations under the CRG Term Loan Agreement, on the Closing Date, we and the Guarantors entered into a security agreement with the Agent pursuant to which we and the Guarantors granted to the Agent, as collateral agent for the lenders, a lien on substantially all of our and the Guarantors’ assets, including intellectual property (subject to certain exceptions).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CRG Term Loan Agreement contains affirmative and negative covenants customary for financings of this type, including limitations on our and the Guarantors’ abilities, among other things, to incur additional debt, grant or permit additional liens, make investments and acquisitions above certain thresholds, merge or consolidate with others, dispose of assets, pay dividends and distributions and enter into affiliate transactions, in each case, subject to certain exceptions. In addition, the CRG Term Loan Agreement contains the following financial covenants requiring us and the Guarantors in the aggregate to maintain: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in an amount which shall exceed the greater of (i) $3.0 million and (ii) to the extent we have incurred certain permitted debt, the minimum cash balance, if any, required of us by the creditors of such permitted debt;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minimum revenue of at least (i) $60.0 million for the twelve-month period beginning on January 1, 2024 and ending on December 31, 2024, (ii) $75.0 million for the twelve-month period beginning on January 1, 2025 and ending on December 31, 2025, (iii) $85.0 million for the twelve-month period beginning on January 1, 2026 and ending on December 31, 2026, (iv) $95.0 million for the twelve-month period beginning on January 1, 2027 and ending on December 31, 2027 and (v) $105.0 million during each twelve-month period beginning on January 1 of a given year thereafter.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CRG Term Loan Agreement contains representations and warranties of the Company and the Guarantors customary for financings of this type, and also includes events of default customary for financings of this type, including, among other things, non-payment, inaccuracy of representations and warranties, covenant breaches, a material adverse change, bankruptcy and insolvency, material judgments and a change of control, in certain cases subject to customary periods to cure. The occurrence and continuance of an event of default could result in the acceleration of the obligations under the CRG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were in compliance with all debt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BMI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we entered into a Licensing and Distribution Agreement (the “BMI License Agreement”) with Biomimetic Innovations Limited, a privately-held medical device company headquartered in Shannon, Co. Clare Ireland (“BMI”), pursuant to which we acquired the exclusive U.S. marketing, sales and distribution rights to OsStic Synthetic Injectable Structural Bio-Adhesive Bone Void Filler (“OsStic”), as well as an adjunctive internal fixation technology featuring novel delivery to promote targeted application of OsStic (“ARC” and together with OsStic, the “Products”), for use in the treatment of a wound or injury caused by a traumatic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BMI License Agreement, we were appointed by BMI as the exclusive distributor to promote, market, offer to sell, transfer, distribute and sell the BMI Products for trauma indications inside the United States and its territories for an initial five-year term, which may be automatically renewed for successive two-year periods at our discretion, provided that we are in compliance with our obligations thereunder (the “BMI Term”). From January 16, 2025 until October 13, 2025, we had an option to negotiate exclusive distribution rights for the BMI Products in additional fields and/or additional territories on substantially the same terms as those set forth in the BMI License Agreement. On June 18, 2025, pursuant to the BMI License Agreement, we exercised our option for exclusive distribution rights of the BMI Products for sports medicine, spine, arthroplasty, and craniomaxillofacial indications within the United States and its territories. On October 1, 2025, we and BMI entered into a first amendment to the BMI License Agreement to extend the option period through May 31, 2026 to provide more time to negotiate and finalize the terms of the additional fields in the contract territory. On May 6, 2026, the Company and BMI entered into a second amendment to the BMI License Agreement to further extend the option period through January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BMI License Agreement requires that we pay BMI royalties of 3% of OsStic Net Sales (as defined in the BMI License Agreement). Pursuant to the BMI License Agreement, we and BMI agreed to negotiate the applicable percentage of net sales for ARC at a future date. The BMI License Agreement also requires that we pay BMI annual minimum royalty payments of $100,000, $200,000, and $300,000 for the first, second and third years, respectively, following the receipt of first regulatory approval for the marketing and sale of a Product (as defined in the agreement). No royalties have been paid under this agreement as of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BMI License Agreement, on January 16, 2025, we entered into a Share Subscription and Shareholders’ Agreement (the “Subscription Agreement”), by and among us, The Russell Revocable Living Trust, BMI and the existing shareholders of BMI, pursuant to which we made an initial cash investment in BMI totaling approximately $3.1 million (€3.0 million). The initial cash investment and our previously disclosed convertible loan to BMI of $1.1 million (€1.0 million) were converted into 8,230 ordinary shares of BMI, constituting approximately 6.67% of the outstanding equity of BMI as of January 16, 2025. Pursuant to the Subscription Agreement, we also agreed to contribute an additional €4.0 million to BMI through a series of capital contributions in exchange for 8,230 additional ordinary shares of BMI upon the achievement of certain development, clinical, and regulatory milestones expected to occur at various points during 2025 and 2026. As of June 30, 2025, BMI had achieved two of such milestones, and upon settlement, we paid BMI $2.4 million (€2.0 million) on July 1, 2025 in exchange for 4,116 additional ordinary shares of BMI, bringing our total ownership of BMI’s outstanding equity to approximately 9.678% as of July 1, 2025. In September 2025, BMI achieved the final three milestones, and upon settlement, we paid BMI $2.4 million (€2.0 million) on October 2, 2025 in exchange for 4,114 additional ordinary shares of BMI, bringing our total ownership of BMI’s outstanding equity to approximately 12.499% for a total cash investment of $9.0 million (€8.0 million) as of October 2, 2025. Subsequent to such date, additional ordinary shares of BMI were sold to other outside investors, thereby decreasing our ownership of BMI to approximately 11.945%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was $0.4 million compared to net cash provided by operating activities of $0.7 million for the six months ended June 30, 2025. The increase in net cash used in operating activities during the six months ended June 30, 2026 was primarily due to the timing of commissions payments, higher cash interest expense resulting from a larger outstanding debt balance compared to the prior-year period and the absence of paid-in-kind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investing activities was $49,052 compared to $9.1 million used in investing activities for the six months ended June 30, 2025. Cash used in investing activities during the six months ended June 30, 2026 related primarily to leasehold improvements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financing activities was $0.7 million compared to $9.5 million provided by financing activities for the six months ended June 30, 2025. Cash used in financing activities during the six months ended June 30, 2026 related primarily to net settlements of 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 to the consolidated financial statements, “Discontinued Operations,” for the operating, investing and financing cash flow information related to the discontinuation of THP.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we entered into an asset purchase agreement with Rochal Industries, LLC (“Rochal”), a related party. Concurrent with the Rochal asset purchase, we entered into a consulting agreement with Ann Beal Salamone pursuant to which Ms. Salamone agreed to provide us with consulting services with respect to, among other things, writing new patents, conducting patent intelligence and participating in certain grant and contract reporting. In consideration of the consulting services to be provided to us, Ms. Salamone is entitled to receive an annual consulting fee of $177,697, with payments to be issued once per month. The consulting agreement had an initial term of three years. Effective July 13, 2024, the consulting agreement with Ms. Salamone was amended to provide that the initial term shall be automatically renewed for successive one-year terms for up to three successive years unless earlier terminated by either party without cause at any time, provided that the terminating party provides 90 days advance written notice of termination. Ms. Salamone is a director of the Company and is a significant shareholder and the current Chair of the board of directors of Rochal.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Catalyst Transaction Advisory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we entered into a Transaction Advisory Services Agreement (the “Catalyst Services Agreement”) effective March 1, 2023 with The Catalyst Group Inc. (“Catalyst”), a related party. Pursuant to the Catalyst Services Agreement, Catalyst, by and through its directors, officers, employees and affiliates that are not simultaneously serving as directors, officers or employees of the Company (collectively, the “Covered Persons”), agreed to perform certain transaction advisory, business and organizational strategy, finance, marketing, operational and strategic planning, relationship access and corporate development services for us in connection with any merger, acquisition, recapitalization, divestiture, financing, refinancing, or other similar transaction in which we may be, or may consider becoming, involved, and any such additional services as mutually agreed upon in writing by and between Catalyst and us (the “Catalyst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Catalyst Services Agreement, we agreed to reimburse Catalyst for (i) compensation actually paid by Catalyst to any of the Covered Persons at a rate no more than a rate consistent with industry practice for the performance of services similar to the Catalyst Services, as documented in reasonably sufficient detail, and (ii) all reasonable out-of-pocket costs and expenses payable to unaffiliated third parties, as documented in customary expense reports, as each of (i) and (ii) is incurred in connection with the Catalyst Services rendered under the Catalyst Services Agreement, with all reimbursements being contingent upon the prior approval of the Audit Committee of our Board of Directors. Pursuant to the Catalyst Services Agreement, costs incurred were $653 and $10,000 for the three months ended June 30, 2026 and 2025, respectively, and $1,503 and $30,000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in connection with the Company’s shift in strategy to focus on soft tissue repair and bone fusion products for the surgical market, the Company terminated the Catalyst Services Agreement with Catalyst effective June 2, 2026. The Company did not pay a fee or penalty in connection with the termination of the Catalyst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Receivables and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no outstanding related party receivables or related party payables at June 30, 2026 and December 31, 2025. The related party payables balance for December 31, 2025 has been reclassified and is included in accounts payable in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INFLATION AND CHANGING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changing prices have not had a material impact on our historical results of operations. We do not currently anticipate that inflation and changing prices, including the impacts of tariffs, will have a material impact on our future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management to make estimates and assumptions that affect the amounts reported in the unaudited consolidated financial statements and accompanying notes. Although we base our estimates on historical experience and various other assumptions that we believe to be reasonable under the circumstances, actual results may differ from the estimates on which our financial statements are prepared at any given point of time. Changes in these estimates could materially affect our consolidated financial position, results of operations or cash flows. Significant items that are subject to such estimates and assumptions include revenue and expense accruals, the fair value measurement of assets and liabilities and the allocation of purchase price to the fair value of assets acquired. Our critical accounting estimates have not significantly changed since December 31, 2025 and are disclosed in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9" w:name="sp_009"/>
      <w:bookmarkEnd w:id="89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this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0" w:name="sp_010"/>
      <w:bookmarkEnd w:id="90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by us in the reports that we file or submit to the SEC under the Securities Exchange Act of 1934, as amended (the “Exchange Act”), is recorded, processed, summarized and reported within the time periods specified by the SEC’s rules and forms, and that information is accumulated and communicated to our management, including our principal executive and principal financial officers (whom we refer to in this periodic report as our “Certifying Officers”), as appropriate to allow timely decisions regarding required disclosure. Our management evaluated, with the participation of our Certifying Officers, the effectiveness of our disclosure controls and procedures as of June 30, 2026, pursuant to Rule 13a-15(b) under the Exchange Act. Based upon that evaluation, our Certifying Officers concluded that, as of June 30, 2026, our disclosure controls and procedures were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901" w:name="sp_011"/>
      <w:bookmarkEnd w:id="901"/>
      <w:r>
        <w:rPr>
          <w:rFonts w:ascii="Times New Roman;Times;Serif" w:hAnsi="Times New Roman;Times;Serif"/>
          <w:b/>
          <w:i/>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2" w:name="sp_012"/>
      <w:bookmarkEnd w:id="90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claims and legal actions that arise in the ordinary course of business. To our knowledge, there are no material pending legal proceedings to which we are a party or of which any of our property is the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3" w:name="sp_013"/>
      <w:bookmarkEnd w:id="90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there were no material changes to the risk factors disclosed in “Part I, Item 1A. Risk Factors” in our Annual Report on Form 10-K for the year ended December 31, 2025. For more information concerning our risk factors, please see “Part I, Item 1A. Risk Factors” in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 with MiMedx may not be consummated even if our shareholders approve the 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conditions, some of which are beyond the parties’ control, that, if not satisfied or waived, may prevent, delay or otherwise result in the Merger not occurring, even though our shareholders may have voted to approve the Merger. We cannot predict with certainty whether and when any of the conditions to the completion of the Merger will be satisfied. Any delay in completing the Merger could cause us not to realize, or delay the realization of, some or all of the benefits that we expect to achieve from the Merger. In addition, we can agree with MiMedx not to consummate the Merger even if our shareholders approve the Merger and the conditions to the closing of the Merger are otherwise satisfied.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announcement and pendency of the Merger and the other transactions contemplated by the Merger Agreement, whether or not completed, may adversely affect our business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and pendency of the Merger may adversely affect the trading price of our common stock, our business or our relationships with our suppliers, agents, distributors, consultants and employees. Third parties may be unwilling to enter into material agreements with respect to our business in light of the proposed Merger. In addition, new or existing customers, suppliers and business partners of ours may prefer to enter into agreements with our competitors who have not expressed an intention to sell their business because customers, suppliers and business partners may perceive that such new relationships are likely to be more stable. Additionally, our employees may become concerned about the future of our business and lose focus or seek other employment.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While the Merger Agreement with MiMedx is in effect, we may be limited in our ability to pursue attractive business opportunities.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Merger Agreement with MiMedx is in effect, we are prohibited from, without MiMedx’s consent, taking certain actions with respect to our business and financial affairs pending completion of the Merger or termination of the Merger Agreement. In addition, our management continues to devote substantial time and other resources to the Merger and related matters, which could limit our ability to pursue other attractive business opportunities, including potential joint ventures, standalone projects and other transactions. If we are unable to pursue such other attractive business opportunities, our growth prospects and the long-term strategic position of our business could be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uncertainty surrounding the approval of the Merger may adversely affect our ability to attract and retain qualified personnel. We operate in an industry that currently experiences a high level of competition among different companies for qualified and experienced personnel. The uncertainty relating to the possibility of the Merger may increase the risk that we could experience higher than normal rates of attrition or that we experience increased difficulty in attracting qualified personnel or incur higher expenses to do so. High levels of attrition among the management and employee personnel necessary to operate our business or difficulties or increased expense incurred to replace any personnel who leave, could materially adversely affect our business or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Merger with MiMedx does not occur, we will not benefit from the expenses we have incurred in the pursuit of the 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with MiMedx may not be completed. If the Merger is not completed, we will have incurred substantial expenses for which no ultimate benefit will have been received by us. We currently expect to incur significant Merger-related expenses, consisting of independent advisory, legal and accounting fees, and financial printing and other related charges, much of which may be incurred even if the Merger is not completed. In addition, if the Merger Agreement is terminated under specified circumstances, we will be required to pay certain Merger-related expenses of MiMedx.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class action lawsuits relating to the Merger, which could materially adversely affect our business, financial condition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may be subject to class action lawsuits relating to the Merger and other additional lawsuits that may be filed. Such litigation is very common in connection with dispositions of public companies, regardless of any merits related to the underlying disposition. While we will evaluate and defend against any actions vigorously, the costs of the defense of such lawsuits and other effects of such litigation could have an adverse effect on our business, financial condition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conditions to consummating the Merger is that no injunction or other order prohibiting or otherwise preventing the consummation of the Merger shall have been issued by any court or governmental entity of competent jurisdiction. Consequently, if any lawsuit is filed challenging the Merger and is successful in obtaining an injunction preventing the parties to the 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from consummating the Merger, such injunction may prevent the Merger from being completed in the expected time frame, or at all.</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complete, or significant delays in completing, the Merger with MiMedx could negatively affect the trading prices of our common stock and our future business and financial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Merger is not assured and is subject to risks, including the risks that approval of the Merger by our shareholders is not obtained or that other closing conditions are not satisfied. If the Merger is not completed, or if there are significant delays in completing the Merger, the trading prices of our common stock and our future business and financial results could be negatively affected, and we will be subject to several risks, including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liable for damages to MiMedx under the terms and conditions of the Merger Agreement, including payment of the $9,660,336 termination fee;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reactions from the financial markets, including declines in the prices of our common stock due to the fact that current prices may reflect a market assumption that the Merger will be completed;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to pay certain significant costs relating to the Merger;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attention of our management will have been diverted to the Merger rather than our own operations and pursuit of other opportunities that could have been beneficial to us.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 with MiMedx is a taxable transaction and the resulting tax liability of a shareholder, if any, will depend on each such shareholder’s particular situation.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of MiMedx common stock, cash or a combination of MiMedx common stock and cash as Merger consideration in exchange for our common stock in the Merger will be treated as a taxable sale by such holders of such common stock for U.S. federal income tax purposes. The amount of gain or loss recognized by each shareholder in the Merger will vary depending on each shareholder’s particular situation, including the value of the MiMedx common stock and/or amount of cash received by each shareholder as Merger consideration in the Merger, the adjusted tax basis of the common stock exchanged by each shareholder in the Merger, and the amount of any suspended passive losses that may be available to a particular shareholder to offset a portion of the gain recognized by the shareholder.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4" w:name="sp_014"/>
      <w:bookmarkEnd w:id="90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sales of unregistered securities during the quarter ended June 30, 2026 that were not previously reported on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share repurchases during the three months ended June 30, 2026:</w:t>
      </w:r>
    </w:p>
    <w:p>
      <w:pPr>
        <w:pStyle w:val="TextBody"/>
        <w:bidi w:val="0"/>
        <w:spacing w:before="0" w:after="0"/>
        <w:ind w:left="0" w:right="0" w:hanging="0"/>
        <w:jc w:val="both"/>
        <w:rPr>
          <w:caps w:val="false"/>
          <w:smallCaps w:val="false"/>
        </w:rPr>
      </w:pPr>
      <w:r>
        <w:rPr>
          <w:caps w:val="false"/>
          <w:smallCaps w:val="false"/>
        </w:rPr>
        <w:t> </w:t>
      </w:r>
    </w:p>
    <w:tbl>
      <w:tblPr>
        <w:tblW w:w="8887" w:type="dxa"/>
        <w:jc w:val="left"/>
        <w:tblInd w:w="0" w:type="dxa"/>
        <w:tblLayout w:type="fixed"/>
        <w:tblCellMar>
          <w:top w:w="0" w:type="dxa"/>
          <w:left w:w="0" w:type="dxa"/>
          <w:bottom w:w="28" w:type="dxa"/>
          <w:right w:w="0" w:type="dxa"/>
        </w:tblCellMar>
      </w:tblPr>
      <w:tblGrid>
        <w:gridCol w:w="2300"/>
        <w:gridCol w:w="60"/>
        <w:gridCol w:w="117"/>
        <w:gridCol w:w="1102"/>
        <w:gridCol w:w="60"/>
        <w:gridCol w:w="60"/>
        <w:gridCol w:w="214"/>
        <w:gridCol w:w="856"/>
        <w:gridCol w:w="60"/>
        <w:gridCol w:w="60"/>
        <w:gridCol w:w="703"/>
        <w:gridCol w:w="1116"/>
        <w:gridCol w:w="60"/>
        <w:gridCol w:w="60"/>
        <w:gridCol w:w="768"/>
        <w:gridCol w:w="1216"/>
        <w:gridCol w:w="75"/>
      </w:tblGrid>
      <w:tr>
        <w:trPr/>
        <w:tc>
          <w:tcPr>
            <w:tcW w:w="2300" w:type="dxa"/>
            <w:tcBorders>
              <w:bottom w:val="single" w:sz="8" w:space="0" w:color="000000"/>
            </w:tcBorders>
            <w:vAlign w:val="center"/>
          </w:tcPr>
          <w:p>
            <w:pPr>
              <w:pStyle w:val="TableContents"/>
              <w:bidi w:val="0"/>
              <w:spacing w:before="0" w:after="283"/>
              <w:jc w:val="left"/>
              <w:rPr>
                <w:b/>
              </w:rPr>
            </w:pPr>
            <w:r>
              <w:rPr>
                <w:b/>
              </w:rPr>
              <w:t>Period</w:t>
            </w:r>
          </w:p>
        </w:tc>
        <w:tc>
          <w:tcPr>
            <w:tcW w:w="60" w:type="dxa"/>
            <w:tcBorders/>
            <w:tcMar>
              <w:bottom w:w="0" w:type="dxa"/>
            </w:tcMar>
            <w:vAlign w:val="center"/>
          </w:tcPr>
          <w:p>
            <w:pPr>
              <w:pStyle w:val="TableContents"/>
              <w:bidi w:val="0"/>
              <w:spacing w:before="0" w:after="283"/>
              <w:jc w:val="center"/>
              <w:rPr/>
            </w:pPr>
            <w:r>
              <w:rPr/>
              <w:t> </w:t>
            </w:r>
          </w:p>
        </w:tc>
        <w:tc>
          <w:tcPr>
            <w:tcW w:w="1219"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Total Number</w:t>
            </w:r>
          </w:p>
          <w:p>
            <w:pPr>
              <w:pStyle w:val="TableContents"/>
              <w:bidi w:val="0"/>
              <w:jc w:val="center"/>
              <w:rPr>
                <w:rFonts w:ascii="Times New Roman;Times;Serif" w:hAnsi="Times New Roman;Times;Serif"/>
                <w:b/>
                <w:sz w:val="20"/>
              </w:rPr>
            </w:pPr>
            <w:r>
              <w:rPr>
                <w:rFonts w:ascii="Times New Roman;Times;Serif" w:hAnsi="Times New Roman;Times;Serif"/>
                <w:b/>
                <w:sz w:val="20"/>
              </w:rPr>
              <w:t>of Shares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Purchased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8" w:space="0" w:color="000000"/>
            </w:tcBorders>
            <w:vAlign w:val="center"/>
          </w:tcPr>
          <w:p>
            <w:pPr>
              <w:pStyle w:val="TableContents"/>
              <w:bidi w:val="0"/>
              <w:jc w:val="center"/>
              <w:rPr>
                <w:b/>
              </w:rPr>
            </w:pPr>
            <w:r>
              <w:rPr>
                <w:b/>
              </w:rPr>
              <w:t>Average</w:t>
            </w:r>
          </w:p>
          <w:p>
            <w:pPr>
              <w:pStyle w:val="TableContents"/>
              <w:bidi w:val="0"/>
              <w:jc w:val="center"/>
              <w:rPr>
                <w:b/>
              </w:rPr>
            </w:pPr>
            <w:r>
              <w:rPr>
                <w:b/>
              </w:rPr>
              <w:t>Price Paid</w:t>
            </w:r>
          </w:p>
          <w:p>
            <w:pPr>
              <w:pStyle w:val="TableContents"/>
              <w:bidi w:val="0"/>
              <w:spacing w:before="0" w:after="283"/>
              <w:jc w:val="center"/>
              <w:rPr>
                <w:b/>
              </w:rPr>
            </w:pPr>
            <w:r>
              <w:rPr>
                <w:b/>
              </w:rPr>
              <w:t>per Share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19" w:type="dxa"/>
            <w:gridSpan w:val="2"/>
            <w:tcBorders>
              <w:bottom w:val="single" w:sz="8" w:space="0" w:color="000000"/>
            </w:tcBorders>
            <w:vAlign w:val="center"/>
          </w:tcPr>
          <w:p>
            <w:pPr>
              <w:pStyle w:val="TableContents"/>
              <w:bidi w:val="0"/>
              <w:jc w:val="center"/>
              <w:rPr>
                <w:b/>
              </w:rPr>
            </w:pPr>
            <w:r>
              <w:rPr>
                <w:b/>
              </w:rPr>
              <w:t>Total Number</w:t>
            </w:r>
          </w:p>
          <w:p>
            <w:pPr>
              <w:pStyle w:val="TableContents"/>
              <w:bidi w:val="0"/>
              <w:jc w:val="center"/>
              <w:rPr>
                <w:b/>
              </w:rPr>
            </w:pPr>
            <w:r>
              <w:rPr>
                <w:b/>
              </w:rPr>
              <w:t>of Shares</w:t>
            </w:r>
          </w:p>
          <w:p>
            <w:pPr>
              <w:pStyle w:val="TableContents"/>
              <w:bidi w:val="0"/>
              <w:jc w:val="center"/>
              <w:rPr>
                <w:b/>
              </w:rPr>
            </w:pPr>
            <w:r>
              <w:rPr>
                <w:b/>
              </w:rPr>
              <w:t>Purchased as</w:t>
            </w:r>
          </w:p>
          <w:p>
            <w:pPr>
              <w:pStyle w:val="TableContents"/>
              <w:bidi w:val="0"/>
              <w:jc w:val="center"/>
              <w:rPr>
                <w:b/>
              </w:rPr>
            </w:pPr>
            <w:r>
              <w:rPr>
                <w:b/>
              </w:rPr>
              <w:t>Part of Publicly</w:t>
            </w:r>
          </w:p>
          <w:p>
            <w:pPr>
              <w:pStyle w:val="TableContents"/>
              <w:bidi w:val="0"/>
              <w:jc w:val="center"/>
              <w:rPr>
                <w:b/>
              </w:rPr>
            </w:pPr>
            <w:r>
              <w:rPr>
                <w:b/>
              </w:rPr>
              <w:t>Announced Plans</w:t>
            </w:r>
          </w:p>
          <w:p>
            <w:pPr>
              <w:pStyle w:val="TableContents"/>
              <w:bidi w:val="0"/>
              <w:spacing w:before="0" w:after="283"/>
              <w:jc w:val="center"/>
              <w:rPr>
                <w:b/>
              </w:rPr>
            </w:pPr>
            <w:r>
              <w:rPr>
                <w:b/>
              </w:rPr>
              <w:t>or Programs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84" w:type="dxa"/>
            <w:gridSpan w:val="2"/>
            <w:tcBorders>
              <w:bottom w:val="single" w:sz="8" w:space="0" w:color="000000"/>
            </w:tcBorders>
            <w:vAlign w:val="center"/>
          </w:tcPr>
          <w:p>
            <w:pPr>
              <w:pStyle w:val="TableContents"/>
              <w:bidi w:val="0"/>
              <w:jc w:val="center"/>
              <w:rPr>
                <w:b/>
              </w:rPr>
            </w:pPr>
            <w:r>
              <w:rPr>
                <w:b/>
              </w:rPr>
              <w:t>Maximum Number</w:t>
            </w:r>
          </w:p>
          <w:p>
            <w:pPr>
              <w:pStyle w:val="TableContents"/>
              <w:bidi w:val="0"/>
              <w:jc w:val="center"/>
              <w:rPr>
                <w:b/>
              </w:rPr>
            </w:pPr>
            <w:r>
              <w:rPr>
                <w:b/>
              </w:rPr>
              <w:t>(or approximate</w:t>
            </w:r>
          </w:p>
          <w:p>
            <w:pPr>
              <w:pStyle w:val="TableContents"/>
              <w:bidi w:val="0"/>
              <w:jc w:val="center"/>
              <w:rPr>
                <w:b/>
              </w:rPr>
            </w:pPr>
            <w:r>
              <w:rPr>
                <w:b/>
              </w:rPr>
              <w:t>dollar value)</w:t>
            </w:r>
          </w:p>
          <w:p>
            <w:pPr>
              <w:pStyle w:val="TableContents"/>
              <w:bidi w:val="0"/>
              <w:jc w:val="center"/>
              <w:rPr>
                <w:b/>
              </w:rPr>
            </w:pPr>
            <w:r>
              <w:rPr>
                <w:b/>
              </w:rPr>
              <w:t>of Shares that may</w:t>
            </w:r>
          </w:p>
          <w:p>
            <w:pPr>
              <w:pStyle w:val="TableContents"/>
              <w:bidi w:val="0"/>
              <w:jc w:val="center"/>
              <w:rPr>
                <w:b/>
              </w:rPr>
            </w:pPr>
            <w:r>
              <w:rPr>
                <w:b/>
              </w:rPr>
              <w:t>yet be Purchased</w:t>
            </w:r>
          </w:p>
          <w:p>
            <w:pPr>
              <w:pStyle w:val="TableContents"/>
              <w:bidi w:val="0"/>
              <w:jc w:val="center"/>
              <w:rPr>
                <w:b/>
              </w:rPr>
            </w:pPr>
            <w:r>
              <w:rPr>
                <w:b/>
              </w:rPr>
              <w:t>Under the Plans</w:t>
            </w:r>
          </w:p>
          <w:p>
            <w:pPr>
              <w:pStyle w:val="TableContents"/>
              <w:bidi w:val="0"/>
              <w:spacing w:before="0" w:after="283"/>
              <w:jc w:val="center"/>
              <w:rPr>
                <w:b/>
              </w:rPr>
            </w:pPr>
            <w:r>
              <w:rPr>
                <w:b/>
              </w:rPr>
              <w:t>or Programs</w:t>
            </w:r>
          </w:p>
        </w:tc>
        <w:tc>
          <w:tcPr>
            <w:tcW w:w="75" w:type="dxa"/>
            <w:tcBorders/>
            <w:tcMar>
              <w:bottom w:w="0" w:type="dxa"/>
            </w:tcMar>
            <w:vAlign w:val="center"/>
          </w:tcPr>
          <w:p>
            <w:pPr>
              <w:pStyle w:val="TableContents"/>
              <w:bidi w:val="0"/>
              <w:spacing w:before="0" w:after="283"/>
              <w:jc w:val="center"/>
              <w:rPr/>
            </w:pPr>
            <w:r>
              <w:rPr/>
              <w:t> </w:t>
            </w:r>
          </w:p>
        </w:tc>
      </w:tr>
      <w:tr>
        <w:trPr/>
        <w:tc>
          <w:tcPr>
            <w:tcW w:w="2300" w:type="dxa"/>
            <w:tcBorders/>
            <w:shd w:fill="CCEEFF" w:val="clear"/>
            <w:tcMar>
              <w:bottom w:w="0" w:type="dxa"/>
            </w:tcMar>
            <w:vAlign w:val="center"/>
          </w:tcPr>
          <w:p>
            <w:pPr>
              <w:pStyle w:val="TableContents"/>
              <w:bidi w:val="0"/>
              <w:spacing w:before="0" w:after="283"/>
              <w:jc w:val="both"/>
              <w:rPr/>
            </w:pPr>
            <w:r>
              <w:rPr/>
              <w:t>April 1 - April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769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18.63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3"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8"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both"/>
              <w:rPr/>
            </w:pPr>
            <w:r>
              <w:rPr/>
              <w:t>May 1 - May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pPr>
            <w:r>
              <w:rPr/>
              <w:t>3,852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21.06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3" w:type="dxa"/>
            <w:tcBorders/>
            <w:shd w:fill="FFFFFF" w:val="clear"/>
            <w:tcMar>
              <w:bottom w:w="0" w:type="dxa"/>
            </w:tcMar>
            <w:vAlign w:val="center"/>
          </w:tcPr>
          <w:p>
            <w:pPr>
              <w:pStyle w:val="TableContents"/>
              <w:bidi w:val="0"/>
              <w:spacing w:before="0" w:after="283"/>
              <w:jc w:val="left"/>
              <w:rPr/>
            </w:pPr>
            <w:r>
              <w:rPr/>
              <w:t> </w:t>
            </w:r>
          </w:p>
        </w:tc>
        <w:tc>
          <w:tcPr>
            <w:tcW w:w="111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8"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both"/>
              <w:rPr/>
            </w:pPr>
            <w:r>
              <w:rPr/>
              <w:t>June 1 -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1102" w:type="dxa"/>
            <w:tcBorders>
              <w:bottom w:val="single" w:sz="8" w:space="0" w:color="000000"/>
            </w:tcBorders>
            <w:shd w:fill="CCEEFF" w:val="clear"/>
            <w:vAlign w:val="center"/>
          </w:tcPr>
          <w:p>
            <w:pPr>
              <w:pStyle w:val="TableContents"/>
              <w:bidi w:val="0"/>
              <w:spacing w:before="0" w:after="283"/>
              <w:jc w:val="right"/>
              <w:rPr/>
            </w:pPr>
            <w:r>
              <w:rPr/>
              <w:t>1,401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23.59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3" w:type="dxa"/>
            <w:tcBorders>
              <w:bottom w:val="single" w:sz="8" w:space="0" w:color="000000"/>
            </w:tcBorders>
            <w:shd w:fill="CCEEFF" w:val="clear"/>
            <w:vAlign w:val="center"/>
          </w:tcPr>
          <w:p>
            <w:pPr>
              <w:pStyle w:val="TableContents"/>
              <w:bidi w:val="0"/>
              <w:spacing w:before="0" w:after="283"/>
              <w:jc w:val="left"/>
              <w:rPr/>
            </w:pPr>
            <w:r>
              <w:rPr/>
              <w:t> </w:t>
            </w:r>
          </w:p>
        </w:tc>
        <w:tc>
          <w:tcPr>
            <w:tcW w:w="1116"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8" w:type="dxa"/>
            <w:tcBorders>
              <w:bottom w:val="single" w:sz="8" w:space="0" w:color="000000"/>
            </w:tcBorders>
            <w:shd w:fill="CCEEFF" w:val="clear"/>
            <w:vAlign w:val="center"/>
          </w:tcPr>
          <w:p>
            <w:pPr>
              <w:pStyle w:val="TableContents"/>
              <w:bidi w:val="0"/>
              <w:spacing w:before="0" w:after="283"/>
              <w:jc w:val="left"/>
              <w:rPr/>
            </w:pPr>
            <w:r>
              <w:rPr/>
              <w:t> </w:t>
            </w:r>
          </w:p>
        </w:tc>
        <w:tc>
          <w:tcPr>
            <w:tcW w:w="1216"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bottom w:val="double" w:sz="6" w:space="0" w:color="000000"/>
            </w:tcBorders>
            <w:shd w:fill="FFFFFF" w:val="clear"/>
            <w:vAlign w:val="center"/>
          </w:tcPr>
          <w:p>
            <w:pPr>
              <w:pStyle w:val="TableContents"/>
              <w:bidi w:val="0"/>
              <w:spacing w:before="0" w:after="283"/>
              <w:jc w:val="left"/>
              <w:rPr/>
            </w:pPr>
            <w:r>
              <w:rPr/>
              <w:t> </w:t>
            </w:r>
          </w:p>
        </w:tc>
        <w:tc>
          <w:tcPr>
            <w:tcW w:w="1102" w:type="dxa"/>
            <w:tcBorders>
              <w:bottom w:val="double" w:sz="6" w:space="0" w:color="000000"/>
            </w:tcBorders>
            <w:shd w:fill="FFFFFF" w:val="clear"/>
            <w:vAlign w:val="center"/>
          </w:tcPr>
          <w:p>
            <w:pPr>
              <w:pStyle w:val="TableContents"/>
              <w:bidi w:val="0"/>
              <w:spacing w:before="0" w:after="283"/>
              <w:jc w:val="right"/>
              <w:rPr>
                <w:b/>
              </w:rPr>
            </w:pPr>
            <w:r>
              <w:rPr>
                <w:b/>
              </w:rPr>
              <w:t>6,022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3" w:type="dxa"/>
            <w:tcBorders>
              <w:bottom w:val="double" w:sz="6" w:space="0" w:color="000000"/>
            </w:tcBorders>
            <w:shd w:fill="FFFFFF" w:val="clear"/>
            <w:vAlign w:val="center"/>
          </w:tcPr>
          <w:p>
            <w:pPr>
              <w:pStyle w:val="TableContents"/>
              <w:bidi w:val="0"/>
              <w:spacing w:before="0" w:after="283"/>
              <w:jc w:val="left"/>
              <w:rPr/>
            </w:pPr>
            <w:r>
              <w:rPr/>
              <w:t> </w:t>
            </w:r>
          </w:p>
        </w:tc>
        <w:tc>
          <w:tcPr>
            <w:tcW w:w="1116"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8" w:type="dxa"/>
            <w:tcBorders>
              <w:bottom w:val="double" w:sz="6" w:space="0" w:color="000000"/>
            </w:tcBorders>
            <w:shd w:fill="FFFFFF" w:val="clear"/>
            <w:vAlign w:val="center"/>
          </w:tcPr>
          <w:p>
            <w:pPr>
              <w:pStyle w:val="TableContents"/>
              <w:bidi w:val="0"/>
              <w:spacing w:before="0" w:after="283"/>
              <w:jc w:val="left"/>
              <w:rPr/>
            </w:pPr>
            <w:r>
              <w:rPr/>
              <w:t> </w:t>
            </w:r>
          </w:p>
        </w:tc>
        <w:tc>
          <w:tcPr>
            <w:tcW w:w="1216" w:type="dxa"/>
            <w:tcBorders>
              <w:bottom w:val="double" w:sz="6"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purchased during the period were transferred to the Company from employees in satisfaction of certain tax withholding obligations associated with the vesting of restricted stock awards during the period. The Sanara MedTech Inc. 2024 Omnibus Long-Term Incentive Plan allows us to withhold the number of shares having the fair value equal to the tax withholding due.</w:t>
            </w:r>
          </w:p>
        </w:tc>
      </w:tr>
    </w:tbl>
    <w:p>
      <w:pPr>
        <w:pStyle w:val="TextBody"/>
        <w:bidi w:val="0"/>
        <w:spacing w:before="0" w:after="0"/>
        <w:ind w:left="63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5" w:name="sp_015"/>
      <w:bookmarkEnd w:id="905"/>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6" w:name="sp_016"/>
      <w:bookmarkEnd w:id="90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is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7" w:name="sp_017"/>
      <w:bookmarkEnd w:id="907"/>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 director or officer (as defined in Rule 16a-1(f) of the Exchange Act) of the Company </w:t>
      </w:r>
      <w:bookmarkStart w:id="908" w:name="xdx_90E_eecd--NonRule10b51ArrAdoptedFlag"/>
      <w:bookmarkStart w:id="909" w:name="xdx_908_eecd--Rule10b51ArrAdoptedFlag_db"/>
      <w:bookmarkEnd w:id="908"/>
      <w:bookmarkEnd w:id="909"/>
      <w:r>
        <w:rPr>
          <w:rFonts w:ascii="Times New Roman;Times;Serif" w:hAnsi="Times New Roman;Times;Serif"/>
          <w:b w:val="false"/>
          <w:i w:val="false"/>
          <w:caps w:val="false"/>
          <w:smallCaps w:val="false"/>
          <w:sz w:val="20"/>
        </w:rPr>
        <w:t xml:space="preserve">adopted, </w:t>
      </w:r>
      <w:bookmarkStart w:id="910" w:name="xdx_90E_ecustom--NonRule10b51ArrModified"/>
      <w:bookmarkStart w:id="911" w:name="xdx_90A_ecustom--Rule10b51ArrModifiedFla"/>
      <w:bookmarkEnd w:id="910"/>
      <w:bookmarkEnd w:id="911"/>
      <w:r>
        <w:rPr>
          <w:rFonts w:ascii="Times New Roman;Times;Serif" w:hAnsi="Times New Roman;Times;Serif"/>
          <w:b w:val="false"/>
          <w:i w:val="false"/>
          <w:caps w:val="false"/>
          <w:smallCaps w:val="false"/>
          <w:sz w:val="20"/>
        </w:rPr>
        <w:t xml:space="preserve">modified, or </w:t>
      </w:r>
      <w:bookmarkStart w:id="912" w:name="xdx_90B_eecd--NonRule10b51ArrTrmntdFlag_"/>
      <w:bookmarkStart w:id="913" w:name="xdx_906_eecd--Rule10b51ArrTrmntdFlag_dbF"/>
      <w:bookmarkEnd w:id="912"/>
      <w:bookmarkEnd w:id="913"/>
      <w:r>
        <w:rPr>
          <w:rFonts w:ascii="Times New Roman;Times;Serif" w:hAnsi="Times New Roman;Times;Serif"/>
          <w:b w:val="false"/>
          <w:i w:val="false"/>
          <w:caps w:val="false"/>
          <w:smallCaps w:val="false"/>
          <w:sz w:val="20"/>
        </w:rPr>
        <w:t>terminated any “Rule 10b5-1 trading arrangement” or “non-Rule 10b5-1 trading arrangement” (in each case, as defined in Item 408(a) of Regulation S-K).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4" w:name="sp_018"/>
      <w:bookmarkEnd w:id="91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a part of this report or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0"/>
        <w:gridCol w:w="60"/>
        <w:gridCol w:w="9385"/>
      </w:tblGrid>
      <w:tr>
        <w:trPr/>
        <w:tc>
          <w:tcPr>
            <w:tcW w:w="76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Asset Purchase Agreement, dated July 14, 2021, by and between Sanara MedTech Inc., as Purchaser, and Rochal Industries, LLC, as Seller (incorporated by reference to Exhibit 10.1 to the Company’s Current Report on Form 8-K filed on July 19, 2021).</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Agreement and Plan of Merger, dated April 1, 2022, by and among Sanara MedTech Inc., United Wound and Skin Solutions, LLC, Precision Healing Inc., PH Merger Sub I, Inc., PH Merger Sub II, LLC and Furneaux Capital Holdco, LLC (d/b/a BlueIO) (incorporated by reference to Exhibit 2.1 to the Company’s Current Report on Form 8-K filed on April 4, 2022).</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Membership Interest Purchase Agreement, dated July 1, 2022, by and among Sanara MedTech Inc., Scendia Biologics, LLC and Ryan Phillips (incorporated by reference to Exhibit 2.1 to the Company’s Current Report on Form 8-K filed on July 5, 2022).</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Asset Purchase Agreement, dated August 1, 2023, by and among Sanara MedTech Inc., Sanara MedTech Applied Technologies, LLC, The Hymed Group Corporation, Applied Nutritionals, LLC and Dr. George D. Petito (incorporated by reference to Exhibit 2.1 to the Company’s Current Report on Form 8-K filed on August 2, 2023).</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Unit Purchase Agreement, dated April 1, 2025, by and among Sanara MedTech Inc., Tissue Health Plus, LLC, CarePICS, LLC, the sellers listed on the signature pages thereto and Paul Schubert (incorporated by reference to Exhibit 2.1 to the Company’s Current Report on Form 8-K filed on April 4, 2025).</w:t>
              </w:r>
            </w:hyperlink>
          </w:p>
        </w:tc>
      </w:tr>
      <w:tr>
        <w:trPr/>
        <w:tc>
          <w:tcPr>
            <w:tcW w:w="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Agreement and Plan of Merger, dated as of July 29, 2026, by and among Sanara MedTech Inc., MiMedx Group, Inc., and Mustang Merger Sub, Inc. (incorporated by reference to Exhibit 2.1 to the Company’s Current Report on Form 8-K/A filed on August 11, 2026).</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Amended and Restated Certificate of Formation of Sanara MedTech Inc. (incorporated by reference to Exhibit 3.1 to the Company’s Current Report on Form 8-K filed on June 17, 2024).</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Amended and Restated Bylaws (incorporated by reference to Exhibit 3.1 to the Company’s Current Report on Form 8-K filed on March 22, 2024).</w:t>
              </w:r>
            </w:hyperlink>
          </w:p>
        </w:tc>
      </w:tr>
      <w:tr>
        <w:trPr/>
        <w:tc>
          <w:tcPr>
            <w:tcW w:w="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Voting Agreement, dated as of July 29, 2026, by and among MiMedx Group, Inc., Sanara MedTech Inc., and certain stockholders identified in an exhibit thereto (incorporated by reference to Exhibit 10.1 to the Company’s Current Report on Form 8-K/A filed on August 11, 2026).</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in accordance with 18 U.S.C. Section 1350, as adopted by Section 302 of the Sarbanes-Oxley Act of 2002.</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in accordance with 18 U.S.C. Section 1350, as adopted by Section 302 of the Sarbanes-Oxley Act of 2002.</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in accordance with 18 U.S.C. Section 1350, as adopted by Section 906 of the Sarbanes-Oxley Act of 2002.</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in accordance with 18 U.S.C. Section 1350, as adopted by Section 906 of the Sarbanes-Oxley Act of 2002.</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Insider Trading Policy</w:t>
              </w:r>
            </w:hyperlink>
          </w:p>
        </w:tc>
      </w:tr>
      <w:tr>
        <w:trPr/>
        <w:tc>
          <w:tcPr>
            <w:tcW w:w="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283"/>
        <w:jc w:val="left"/>
        <w:rPr/>
      </w:pPr>
      <w:r>
        <w:rPr/>
        <w:t> </w:t>
      </w:r>
    </w:p>
    <w:tbl>
      <w:tblPr>
        <w:tblW w:w="1413" w:type="dxa"/>
        <w:jc w:val="left"/>
        <w:tblInd w:w="0" w:type="dxa"/>
        <w:tblLayout w:type="fixed"/>
        <w:tblCellMar>
          <w:top w:w="0" w:type="dxa"/>
          <w:left w:w="0" w:type="dxa"/>
          <w:bottom w:w="0" w:type="dxa"/>
          <w:right w:w="0" w:type="dxa"/>
        </w:tblCellMar>
      </w:tblPr>
      <w:tblGrid>
        <w:gridCol w:w="38"/>
        <w:gridCol w:w="12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18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exhibits to this agreement have been omitted pursuant to Item 601(a)(5) of Regulation S-K. A copy of any omitted schedule or exhibit will be furnished supplementally to the Securities and Exchange Commission or its staff upon request. If indicated on the first page of such agreement, certain confidential information has been excluded pursuant to Item 601(b)(2)(ii) of Regulation S-K. Such excluded information is not material and is the type that the Company treats as private or confidential.</w:t>
            </w:r>
          </w:p>
        </w:tc>
      </w:tr>
    </w:tbl>
    <w:p>
      <w:pPr>
        <w:pStyle w:val="TextBody"/>
        <w:bidi w:val="0"/>
        <w:spacing w:before="0" w:after="0"/>
        <w:ind w:left="18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certifications attached as Exhibit 32.1 and Exhibit 32.2 are not deemed “filed” with the Securities and Exchange Commission and are not to be incorporated by reference into any filing of Sanara MedTech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0" w:after="0"/>
        <w:ind w:left="1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5" w:name="sp_019"/>
      <w:bookmarkEnd w:id="915"/>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1385"/>
        <w:gridCol w:w="320"/>
        <w:gridCol w:w="4550"/>
      </w:tblGrid>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487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Elizabeth B. Taylor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B. Taylor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duly authorized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916" w:name="ex31-1.htm"/>
      <w:bookmarkStart w:id="917" w:name="ksex311"/>
      <w:bookmarkEnd w:id="916"/>
      <w:bookmarkEnd w:id="9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ACCORDANCE WITH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BY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Seth D. Yon,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Sanara MedTech Inc. for the period ended June 30, 2026;</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4160"/>
        <w:gridCol w:w="75"/>
      </w:tblGrid>
      <w:tr>
        <w:trPr/>
        <w:tc>
          <w:tcPr>
            <w:tcW w:w="41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Seth D. Yon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D. Yon, President and Chief Executive Officer</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18" w:name="ex31-2.htm"/>
      <w:bookmarkStart w:id="919" w:name="ksex312"/>
      <w:bookmarkEnd w:id="918"/>
      <w:bookmarkEnd w:id="9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ACCORDANCE WITH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BY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Elizabeth B. Taylor,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Sanara MedTech Inc. for the period ended June 30, 2026;</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both"/>
        <w:rPr>
          <w:caps w:val="false"/>
          <w:smallCaps w:val="false"/>
        </w:rPr>
      </w:pPr>
      <w:r>
        <w:rPr>
          <w:caps w:val="false"/>
          <w:smallCaps w:val="false"/>
        </w:rPr>
        <w:t> </w:t>
      </w:r>
    </w:p>
    <w:tbl>
      <w:tblPr>
        <w:tblW w:w="3650" w:type="dxa"/>
        <w:jc w:val="left"/>
        <w:tblInd w:w="0" w:type="dxa"/>
        <w:tblLayout w:type="fixed"/>
        <w:tblCellMar>
          <w:top w:w="0" w:type="dxa"/>
          <w:left w:w="0" w:type="dxa"/>
          <w:bottom w:w="28" w:type="dxa"/>
          <w:right w:w="0" w:type="dxa"/>
        </w:tblCellMar>
      </w:tblPr>
      <w:tblGrid>
        <w:gridCol w:w="3575"/>
        <w:gridCol w:w="75"/>
      </w:tblGrid>
      <w:tr>
        <w:trPr/>
        <w:tc>
          <w:tcPr>
            <w:tcW w:w="357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Elizabeth B. Taylor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B. Taylor, Chief Financial Officer</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20" w:name="ex32-1.htm"/>
      <w:bookmarkStart w:id="921" w:name="ksex321"/>
      <w:bookmarkEnd w:id="920"/>
      <w:bookmarkEnd w:id="9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ACCORDANCE WITH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BY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Sanara MedTech Inc. (the “Company”) for the period ended June 30, 2026 as filed with the Securities and Exchange Commission on the date hereof (the “Report”), I, Seth D. Yon, in my capacity as President and Chief Executive Officer of the Company and not in my individual capacity, certify, pursuant to 18 U.S.C. § 1350, as adopted pursuant to §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presented in the Report.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4160"/>
        <w:gridCol w:w="75"/>
      </w:tblGrid>
      <w:tr>
        <w:trPr/>
        <w:tc>
          <w:tcPr>
            <w:tcW w:w="41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Seth D. Yon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D. Yon, President and Chief Executive Officer</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as an exhibit to the Report pursuant to Item 601(b)(32) of Regulation S-K and Section 906 of the Sarbanes-Oxley Act of 2002 (subsections (a) and (b) of Section 1350, Chapter 63 of Title 18, United States Code) and, accordingly, is not being filed as part of the Report for purposes of Section 18 of the Securities Exchange Act of 1934, as amended, and is not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22" w:name="ex32-2.htm"/>
      <w:bookmarkStart w:id="923" w:name="ksex322"/>
      <w:bookmarkEnd w:id="922"/>
      <w:bookmarkEnd w:id="9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ACCORDANCE WITH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BY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Sanara MedTech Inc. (the “Company”) for the period ended June 30, 2026 as filed with the Securities and Exchange Commission on the date hereof (the “Report”), I, Elizabeth B. Taylor, in my capacity as Chief Financial Officer of the Company and not in my individual capacity, certify, pursuant to 18 U.S.C. § 1350, as adopted pursuant to §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presented in the Report.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both"/>
        <w:rPr>
          <w:caps w:val="false"/>
          <w:smallCaps w:val="false"/>
        </w:rPr>
      </w:pPr>
      <w:r>
        <w:rPr>
          <w:caps w:val="false"/>
          <w:smallCaps w:val="false"/>
        </w:rPr>
        <w:t> </w:t>
      </w:r>
    </w:p>
    <w:tbl>
      <w:tblPr>
        <w:tblW w:w="3650" w:type="dxa"/>
        <w:jc w:val="left"/>
        <w:tblInd w:w="0" w:type="dxa"/>
        <w:tblLayout w:type="fixed"/>
        <w:tblCellMar>
          <w:top w:w="0" w:type="dxa"/>
          <w:left w:w="0" w:type="dxa"/>
          <w:bottom w:w="28" w:type="dxa"/>
          <w:right w:w="0" w:type="dxa"/>
        </w:tblCellMar>
      </w:tblPr>
      <w:tblGrid>
        <w:gridCol w:w="3575"/>
        <w:gridCol w:w="75"/>
      </w:tblGrid>
      <w:tr>
        <w:trPr/>
        <w:tc>
          <w:tcPr>
            <w:tcW w:w="357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Elizabeth B. Taylor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B. Taylor, Chief Financial Officer</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as an exhibit to the Report pursuant to Item 601(b)(32) of Regulation S-K and Section 906 of the Sarbanes-Oxley Act of 2002 (subsections (a) and (b) of Section 1350, Chapter 63 of Title 18, United States Code) and, accordingly, is not being filed as part of the Report for purposes of Section 18 of the Securities Exchange Act of 1934, as amended, and is not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924" w:name="ex99-1.htm"/>
      <w:bookmarkStart w:id="925" w:name="ksex991"/>
      <w:bookmarkEnd w:id="924"/>
      <w:bookmarkEnd w:id="9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principal purposes of the federal securities laws is the protection of investors in the U.S. securities markets through the assurance of fairness and the reduction of fraud in the markets. A major component of this effort is the prohibition on trading securities on the basis of or while in possession of material nonpublic information, called “insider trading.” Stated simply, insider trading occurs when a person with access to a company’s material nonpublic information trades the company’s securities based on that information or “tips” the information to others or recommends the purchase or sale of the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consequences for a violation of federal and state laws prohibiting insider trading can be severe. Penalties imposed by federal or state authorities can involve the disgorgement of any gain from the transaction along with substantial civil fines, court injunctions, criminal fines and jail terms. In addition, a person who tips information to others without his or her trading in the securities may also be liable for transactions by the person who received and traded on the information. The tipper who provided the information can be subject to the same penalties and sanctions as the tippee who trades, and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has imposed large penalties even when the tipper did not profit from the transaction. A violation of law, or even an SEC investigation that does not result in prosecution, can tarnish a person’s reputation and perhaps permanently damage a career.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Purpose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Insider Trading Policy (this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describes the policy and standards of Sanara MedTech Inc. and its subsidiaries (collectively,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on the handling of confidential information about the Company and the companies with which the Company engages in transactions or does business. The Company’s Board of Directors adopted this Policy to promote compliance with U.S. federal, state and foreign securities laws that prohibit certain persons who are aware of material nonpublic information about a company from: (i) engaging in transactions in the securities of that company; or (ii) providing material nonpublic information to other persons who may trade on the basis of that information. This Policy is divided into two parts. The first part states the policies, standards and prohibited activities applicable to all persons covered by this Policy, and the second part describes Company procedures and trading restrictions applicable to certain Company personnel to help prevent insider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w:t>
      </w:r>
    </w:p>
    <w:p>
      <w:pPr>
        <w:pStyle w:val="TextBody"/>
        <w:bidi w:val="0"/>
        <w:spacing w:before="0" w:after="0"/>
        <w:ind w:left="0" w:right="0" w:hanging="0"/>
        <w:jc w:val="center"/>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85"/>
        <w:gridCol w:w="179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Application of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trading or other transactions in the Company’s securities, including, but not limited to, common stock, preferred stock, options, warrants and any other securities that the Company may issue at any time, such as notes, bonds and convertible securities, as well as derivative securities relating to any of the Company’s securities. It also applies to derivative securities not issued by the Company itself, such as exchange-traded options on Company securities.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Policy applies to all directors and officers of the Company, the employees of the Company whose titles are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(such employees, collectively with the directors and officers, the “</w:t>
      </w:r>
      <w:r>
        <w:rPr>
          <w:rFonts w:ascii="Times New Roman;Times;Serif" w:hAnsi="Times New Roman;Times;Serif"/>
          <w:b/>
          <w:i/>
          <w:caps w:val="false"/>
          <w:smallCaps w:val="false"/>
          <w:sz w:val="20"/>
        </w:rPr>
        <w:t>Insiders</w:t>
      </w:r>
      <w:r>
        <w:rPr>
          <w:rFonts w:ascii="Times New Roman;Times;Serif" w:hAnsi="Times New Roman;Times;Serif"/>
          <w:b w:val="false"/>
          <w:i w:val="false"/>
          <w:caps w:val="false"/>
          <w:smallCaps w:val="false"/>
          <w:sz w:val="20"/>
        </w:rPr>
        <w:t>”), all other employees of the Company and all sales personnel and other agents, consultants and contractors of the Company who receive material nonpublic information of the Company (collectively with the Insiders, the “</w:t>
      </w:r>
      <w:r>
        <w:rPr>
          <w:rFonts w:ascii="Times New Roman;Times;Serif" w:hAnsi="Times New Roman;Times;Serif"/>
          <w:b/>
          <w:i/>
          <w:caps w:val="false"/>
          <w:smallCaps w:val="false"/>
          <w:sz w:val="20"/>
        </w:rPr>
        <w:t>Covered Persons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This Policy also applies to any entities, including any corporations, partnerships or trusts, that any Covered Person influences or controls (collectively referred to herein as “</w:t>
      </w:r>
      <w:r>
        <w:rPr>
          <w:rFonts w:ascii="Times New Roman;Times;Serif" w:hAnsi="Times New Roman;Times;Serif"/>
          <w:b/>
          <w:i/>
          <w:caps w:val="false"/>
          <w:smallCaps w:val="false"/>
          <w:sz w:val="20"/>
        </w:rPr>
        <w:t>Controlled Entities</w:t>
      </w:r>
      <w:r>
        <w:rPr>
          <w:rFonts w:ascii="Times New Roman;Times;Serif" w:hAnsi="Times New Roman;Times;Serif"/>
          <w:b w:val="false"/>
          <w:i w:val="false"/>
          <w:caps w:val="false"/>
          <w:smallCaps w:val="false"/>
          <w:sz w:val="20"/>
        </w:rPr>
        <w:t>”), and transactions by these Controlled Entities should be treated for the purposes of this Policy and applicable securities laws as if they were for the Covered Person’s own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Policy applies to (i) family members who reside with Covered Persons (including spouse, children, a child away at college, stepchildren, grandchildren, parents, stepparents, grandparents, siblings and in-laws), (ii) family members who do not live in the Covered Person’s household but whose transactions in Company securities the Covered Person directs, controls or provides recommendations and (iii) non-family members who live in a Covered Person’s household (collectively, “</w:t>
      </w:r>
      <w:r>
        <w:rPr>
          <w:rFonts w:ascii="Times New Roman;Times;Serif" w:hAnsi="Times New Roman;Times;Serif"/>
          <w:b/>
          <w:i/>
          <w:caps w:val="false"/>
          <w:smallCaps w:val="false"/>
          <w:sz w:val="20"/>
        </w:rPr>
        <w:t>Family Members</w:t>
      </w:r>
      <w:r>
        <w:rPr>
          <w:rFonts w:ascii="Times New Roman;Times;Serif" w:hAnsi="Times New Roman;Times;Serif"/>
          <w:b w:val="false"/>
          <w:i w:val="false"/>
          <w:caps w:val="false"/>
          <w:smallCaps w:val="false"/>
          <w:sz w:val="20"/>
        </w:rPr>
        <w:t>”). Covered Persons are responsible for any transactions consummated by their Family Members and should treat transactions by Family Members for the purposes of this Policy and applicable securities laws as if they were for the Covered Person’s own account. Therefore, Covered Persons generally should avoid disclosing material nonpublic Company information to Family Members. It is also advisable to make these persons aware of the associated responsibilities and legal sanctions.</w:t>
      </w:r>
    </w:p>
    <w:p>
      <w:pPr>
        <w:pStyle w:val="TextBody"/>
        <w:bidi w:val="0"/>
        <w:spacing w:before="0" w:after="0"/>
        <w:ind w:left="0" w:right="0" w:firstLine="72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185"/>
        <w:gridCol w:w="185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Insider Trading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the policy of the Company that Covered Persons, Family Members and Controlled Entities (or any other person designated by this Policy or by the Compliance Officer (as described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as subject to this Policy) who are aware of material nonpublic information relating to the Company shall not, directly, or indirectly through other persons or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 or sell, or offer to purchase or sell, any Company security, whether or not issued by the Company, while in possession of material nonpublic information about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communicate material nonpublic information to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“tip”) any other person, including relatives and friends, who the Covered Person, Family Member or Controlled Entity reasonably could know might trade on the basis of such information, or otherwise disclose such information without the Company’s authorization;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purchase or sell any security issued by another company while in possession of material nonpublic information about that other company when the information was obtained in the course of a Covered Person’s activities that involve the Company, or communicate that information to (or tip) any other person, including relatives and friends, or otherwise disclose the information without the Company’s authorization.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herein, there are no exceptions to this Policy. Transactions thought to be necessary or justifiable for independent reasons (such an immediate need to raise money for an emergency expenditure), or small transactions, are not excepted from this Policy.</w:t>
      </w:r>
    </w:p>
    <w:p>
      <w:pPr>
        <w:pStyle w:val="TextBody"/>
        <w:bidi w:val="0"/>
        <w:spacing w:before="0" w:after="0"/>
        <w:ind w:left="0" w:right="0" w:firstLine="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Consequences of Violation.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Federal and State Laws and Regulations</w:t>
      </w:r>
      <w:r>
        <w:rPr>
          <w:rFonts w:ascii="Times New Roman;Times;Serif" w:hAnsi="Times New Roman;Times;Serif"/>
          <w:b w:val="false"/>
          <w:i w:val="false"/>
          <w:caps w:val="false"/>
          <w:smallCaps w:val="false"/>
          <w:sz w:val="20"/>
        </w:rPr>
        <w:t>. The purchase or sale of securities while aware of material nonpublic information, or the disclosure of material nonpublic information to others who then engage in transactions in the Company’s securities, is prohibited by federal and state laws. The SEC, U.S. attorneys and state enforcement authorities, as well as enforcement authorities in foreign jurisdictions, vigorously pursue insider trading violations.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Company-Imposed Penalties</w:t>
      </w:r>
      <w:r>
        <w:rPr>
          <w:rFonts w:ascii="Times New Roman;Times;Serif" w:hAnsi="Times New Roman;Times;Serif"/>
          <w:b w:val="false"/>
          <w:i w:val="false"/>
          <w:caps w:val="false"/>
          <w:smallCaps w:val="false"/>
          <w:sz w:val="20"/>
        </w:rPr>
        <w:t>. An individual’s failure to comply with this Policy may subject such person to Company-imposed sanctions, including dismissal for cause, whether or not such person’s failure to comply results in a violation of law. A violation of law, or even an SEC investigation that does not result in prosecution, can tarnish a person’s reputation and irreparably damage a career.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Individual Responsibility</w:t>
      </w:r>
      <w:r>
        <w:rPr>
          <w:rFonts w:ascii="Times New Roman;Times;Serif" w:hAnsi="Times New Roman;Times;Serif"/>
          <w:b w:val="false"/>
          <w:i w:val="false"/>
          <w:caps w:val="false"/>
          <w:smallCaps w:val="false"/>
          <w:sz w:val="20"/>
        </w:rPr>
        <w:t>. Any individual subject to this Policy has ethical and legal obligations to maintain the confidentiality of information about the Company and to not engage in transactions in Company securities while in possession of material nonpublic information. Persons subject to this Policy shall not engage in illegal trading and shall avoid the appearance of improper trading. Each Covered Person is responsible for making sure that he or she complies with this Policy, and that any Family Member or Controlled Entity of such Covered Person also complies with this Policy.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w:t>
      </w:r>
    </w:p>
    <w:p>
      <w:pPr>
        <w:pStyle w:val="TextBody"/>
        <w:bidi w:val="0"/>
        <w:spacing w:before="0" w:after="0"/>
        <w:ind w:left="0" w:right="0" w:firstLine="720"/>
        <w:jc w:val="both"/>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185"/>
        <w:gridCol w:w="95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Material Information</w:t>
      </w:r>
      <w:r>
        <w:rPr>
          <w:rFonts w:ascii="Times New Roman;Times;Serif" w:hAnsi="Times New Roman;Times;Serif"/>
          <w:b w:val="false"/>
          <w:i w:val="false"/>
          <w:caps w:val="false"/>
          <w:smallCaps w:val="false"/>
          <w:sz w:val="20"/>
        </w:rPr>
        <w:t>. The term “material” is not precisely defined in the securities laws; rather it is based on an assessment of the facts and circumstances and is often evaluated by governmental enforcement authorities with the benefit of hindsight. Information is generally considered material if it has market significance, meaning that a reasonable investor would consider that information important in making a decision to buy, hold or sell securities. The following, while not an exclusive list, are some examples of information that ordinarily would be regarded as material:</w:t>
      </w:r>
    </w:p>
    <w:p>
      <w:pPr>
        <w:pStyle w:val="TextBody"/>
        <w:bidi w:val="0"/>
        <w:spacing w:before="0" w:after="0"/>
        <w:ind w:left="0" w:right="0" w:firstLine="72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financial results;</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projections of future earnings or losses or other earnings guidance, or significant changes to previously announced guidance or business prospects;</w:t>
            </w:r>
          </w:p>
        </w:tc>
      </w:tr>
    </w:tbl>
    <w:p>
      <w:pPr>
        <w:pStyle w:val="TextBody"/>
        <w:bidi w:val="0"/>
        <w:spacing w:before="0" w:after="0"/>
        <w:ind w:left="720" w:right="0" w:hanging="36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new product or a major change in product marketing;</w:t>
            </w:r>
          </w:p>
        </w:tc>
      </w:tr>
    </w:tbl>
    <w:p>
      <w:pPr>
        <w:pStyle w:val="TextBody"/>
        <w:bidi w:val="0"/>
        <w:spacing w:before="0" w:after="0"/>
        <w:ind w:left="720" w:right="0" w:hanging="36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pending or proposed significant acquisition or sale of assets or a merger, even if preliminary in nature;</w:t>
            </w:r>
          </w:p>
        </w:tc>
      </w:tr>
    </w:tbl>
    <w:p>
      <w:pPr>
        <w:pStyle w:val="TextBody"/>
        <w:bidi w:val="0"/>
        <w:spacing w:before="0" w:after="0"/>
        <w:ind w:left="720" w:right="0" w:hanging="36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pending or proposed joint venture;</w:t>
            </w:r>
          </w:p>
        </w:tc>
      </w:tr>
    </w:tbl>
    <w:p>
      <w:pPr>
        <w:pStyle w:val="TextBody"/>
        <w:bidi w:val="0"/>
        <w:spacing w:before="0" w:after="0"/>
        <w:ind w:left="720" w:right="0" w:hanging="36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large financing or other financing transaction outside of the ordinary course;</w:t>
            </w:r>
          </w:p>
        </w:tc>
      </w:tr>
    </w:tbl>
    <w:p>
      <w:pPr>
        <w:pStyle w:val="TextBody"/>
        <w:bidi w:val="0"/>
        <w:spacing w:before="0" w:after="0"/>
        <w:ind w:left="1080" w:right="0" w:hanging="72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or loss of a significant contract, customer or supplier;</w:t>
            </w:r>
          </w:p>
        </w:tc>
      </w:tr>
    </w:tbl>
    <w:p>
      <w:pPr>
        <w:pStyle w:val="TextBody"/>
        <w:bidi w:val="0"/>
        <w:spacing w:before="0" w:after="0"/>
        <w:ind w:left="1080" w:right="0" w:hanging="72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or threatened litigation or resolution of litigation;</w:t>
            </w:r>
          </w:p>
        </w:tc>
      </w:tr>
    </w:tbl>
    <w:p>
      <w:pPr>
        <w:pStyle w:val="TextBody"/>
        <w:bidi w:val="0"/>
        <w:spacing w:before="0" w:after="0"/>
        <w:ind w:left="1080" w:right="0" w:hanging="72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governmental investigation or FDA modification of product clearance;</w:t>
            </w:r>
          </w:p>
        </w:tc>
      </w:tr>
    </w:tbl>
    <w:p>
      <w:pPr>
        <w:pStyle w:val="TextBody"/>
        <w:bidi w:val="0"/>
        <w:spacing w:before="0" w:after="0"/>
        <w:ind w:left="1080" w:right="0" w:hanging="72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or developments of any significant clinical trials relating to the Company’s products;</w:t>
            </w:r>
          </w:p>
        </w:tc>
      </w:tr>
    </w:tbl>
    <w:p>
      <w:pPr>
        <w:pStyle w:val="TextBody"/>
        <w:bidi w:val="0"/>
        <w:spacing w:before="0" w:after="0"/>
        <w:ind w:left="720" w:right="0" w:hanging="36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split, offering of additional securities or change in dividend policy;</w:t>
            </w:r>
          </w:p>
        </w:tc>
      </w:tr>
    </w:tbl>
    <w:p>
      <w:pPr>
        <w:pStyle w:val="TextBody"/>
        <w:bidi w:val="0"/>
        <w:spacing w:before="0" w:after="0"/>
        <w:ind w:left="1080" w:right="0" w:hanging="72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change in management;</w:t>
            </w:r>
          </w:p>
        </w:tc>
      </w:tr>
    </w:tbl>
    <w:p>
      <w:pPr>
        <w:pStyle w:val="TextBody"/>
        <w:bidi w:val="0"/>
        <w:spacing w:before="0" w:after="0"/>
        <w:ind w:left="1080" w:right="0" w:hanging="72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problems or impending bankruptcy or restructuring;</w:t>
            </w:r>
          </w:p>
        </w:tc>
      </w:tr>
    </w:tbl>
    <w:p>
      <w:pPr>
        <w:pStyle w:val="TextBody"/>
        <w:bidi w:val="0"/>
        <w:spacing w:before="0" w:after="0"/>
        <w:ind w:left="1080" w:right="0" w:hanging="72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Company’s auditor or notification that the auditor’s report may no longer be relied upon;</w:t>
            </w:r>
          </w:p>
        </w:tc>
      </w:tr>
    </w:tbl>
    <w:p>
      <w:pPr>
        <w:pStyle w:val="TextBody"/>
        <w:bidi w:val="0"/>
        <w:spacing w:before="0" w:after="0"/>
        <w:ind w:left="720" w:right="0" w:hanging="36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related party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a repurchase program for Company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change in the Company’s pricing or cost structure;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cybersecurity incident, such as a data breach or any other significant disruption in the Company’s operations or loss, potential loss, breach or unauthorized access of its property or assets, whether at Company facilities or through its information technology infrastructure;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an event-specific restriction on trading in Company securities or the securities of another company, or the extension or termination of such restriction.</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Times;Serif" w:hAnsi="Times New Roman;Times;Serif"/>
          <w:b/>
          <w:i w:val="false"/>
          <w:caps w:val="false"/>
          <w:smallCaps w:val="false"/>
          <w:sz w:val="20"/>
        </w:rPr>
        <w:t>If you are unsure whether information is material, you should consult the Compliance Officer before making any decision to disclose such information (other than to persons who need to know it) or before trading in or recommending transactions in securities to which that information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Information that has not been disclosed to the public is generally considered to be nonpublic information. Public disclosure usually means that the information has been widely disseminated, such as through newswire services, the Dow Jones “broad tape,” publication in a widely available newspaper, magazine or news website, broadcast on widely available radio or television programs or filed with the SEC and available on the SEC’s EDGAR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publicly disclosed, the information must have been widely disseminated in a manner to reach investors generally, for a sufficient amount of time to be adequately absorbed by the public. In the case of a small company that is not widely followed, such as the Company, as a general rule information should not be considered fully absorbed by the marketplace until the conclusion of the second trading day after the information has been released to the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Nonpublic information may include:</w:t>
      </w:r>
    </w:p>
    <w:p>
      <w:pPr>
        <w:pStyle w:val="TextBody"/>
        <w:bidi w:val="0"/>
        <w:spacing w:before="0" w:after="0"/>
        <w:ind w:left="0" w:right="0" w:firstLine="72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available to a select group of analysts or brokers or institutional investors;</w:t>
            </w:r>
          </w:p>
        </w:tc>
      </w:tr>
    </w:tbl>
    <w:p>
      <w:pPr>
        <w:pStyle w:val="TextBody"/>
        <w:bidi w:val="0"/>
        <w:spacing w:before="0" w:after="0"/>
        <w:ind w:left="720" w:right="0" w:hanging="36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facts that are the subject of rumors, even if the rumors are widely circulated;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that has been entrusted to the Company on a confidential basis before a public announcement of the information has been made and enough time has elapsed for the market to respond to a public announcement of the information (normally two business days).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requirements of this Policy, the Company established the following procedures to facilitate compliance with this Policy and the laws prohibiting insider trading. The Company rigorously aims to prevent the possible appearance of any impropriety in this regard by the Company and its personnel.</w:t>
      </w:r>
    </w:p>
    <w:p>
      <w:pPr>
        <w:pStyle w:val="TextBody"/>
        <w:bidi w:val="0"/>
        <w:spacing w:before="0" w:after="0"/>
        <w:ind w:left="0" w:right="0" w:firstLine="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185"/>
        <w:gridCol w:w="216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Blackout Periods.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Quarterly Blackout Periods</w:t>
      </w:r>
      <w:r>
        <w:rPr>
          <w:rFonts w:ascii="Times New Roman;Times;Serif" w:hAnsi="Times New Roman;Times;Serif"/>
          <w:b w:val="false"/>
          <w:i w:val="false"/>
          <w:caps w:val="false"/>
          <w:smallCaps w:val="false"/>
          <w:sz w:val="20"/>
        </w:rPr>
        <w:t>. Trading in Company securities by Insiders is prohibited during the period beginning at the close of the market on the 14th calendar day before the end of each fiscal quarter and ending at the close of business on the second trading day following the date the Company’s financial results for such quarter are filed with the SEC (a “</w:t>
      </w:r>
      <w:r>
        <w:rPr>
          <w:rFonts w:ascii="Times New Roman;Times;Serif" w:hAnsi="Times New Roman;Times;Serif"/>
          <w:b/>
          <w:i/>
          <w:caps w:val="false"/>
          <w:smallCaps w:val="false"/>
          <w:sz w:val="20"/>
        </w:rPr>
        <w:t>Quarterly Blackout Period</w:t>
      </w:r>
      <w:r>
        <w:rPr>
          <w:rFonts w:ascii="Times New Roman;Times;Serif" w:hAnsi="Times New Roman;Times;Serif"/>
          <w:b w:val="false"/>
          <w:i w:val="false"/>
          <w:caps w:val="false"/>
          <w:smallCaps w:val="false"/>
          <w:sz w:val="20"/>
        </w:rPr>
        <w:t>”). The Compliance Officer may permit a trade during this Quarterly Blackout Period in special situations if the Compliance Officer concludes that the person seeking to trade in Company securities does not in fact possess material nonpublic information. Persons wishing to trade during the Quarterly Blackout Period must contact the Compliance Officer for approval at least two business days in advance of any proposed transaction. During these periods, Insiders generally possess or are presumed to possess material nonpublic information about the Company’s financial results.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Blackout Periods</w:t>
      </w:r>
      <w:r>
        <w:rPr>
          <w:rFonts w:ascii="Times New Roman;Times;Serif" w:hAnsi="Times New Roman;Times;Serif"/>
          <w:b w:val="false"/>
          <w:i w:val="false"/>
          <w:caps w:val="false"/>
          <w:smallCaps w:val="false"/>
          <w:sz w:val="20"/>
        </w:rPr>
        <w:t>. From time to time, circumstances or events may occur or be anticipated which is material to the Company and not publicly known. The Compliance Officer must be notified of the circumstances or events by the persons having that knowledge. If the circumstances or future event is widely known within the Company, then the Compliance Officer will notify all Company personnel of the existence of a special blackout period (a “</w:t>
      </w:r>
      <w:r>
        <w:rPr>
          <w:rFonts w:ascii="Times New Roman;Times;Serif" w:hAnsi="Times New Roman;Times;Serif"/>
          <w:b/>
          <w:i/>
          <w:caps w:val="false"/>
          <w:smallCaps w:val="false"/>
          <w:sz w:val="20"/>
        </w:rPr>
        <w:t>Special Blackout Period</w:t>
      </w:r>
      <w:r>
        <w:rPr>
          <w:rFonts w:ascii="Times New Roman;Times;Serif" w:hAnsi="Times New Roman;Times;Serif"/>
          <w:b w:val="false"/>
          <w:i w:val="false"/>
          <w:caps w:val="false"/>
          <w:smallCaps w:val="false"/>
          <w:sz w:val="20"/>
        </w:rPr>
        <w:t>”). If, on the other hand, only a limited number of persons have such knowledge, then the Compliance Officer will notify only those limited persons of the Special Blackout Period. So long as the circumstances or event remains material and nonpublic, the persons so notified by the Compliance Officer shall not transact in Company securities. Additionally, the Company’s financial results may be sufficiently material in a particular fiscal quarter that, in the judgment of the Compliance Officer, designated persons should refrain from trading in Company securities even earlier than the typical Quarterly Blackout Period described above. In that situation, the Compliance Officer may notify those persons of a restriction from trading, without disclosing the reason for the restriction. The notification of an event-specific Special Blackout Period or extension of a Special Blackout Period or Quarterly Blackout Period shall not be communicated to other persons. In any event, a person possessing material nonpublic information must not trade in Company securities even though he or she has not been notified of a Special Blackout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Exceptions for 10b5-1 Trading Plans</w:t>
      </w:r>
      <w:r>
        <w:rPr>
          <w:rFonts w:ascii="Times New Roman;Times;Serif" w:hAnsi="Times New Roman;Times;Serif"/>
          <w:b w:val="false"/>
          <w:i w:val="false"/>
          <w:caps w:val="false"/>
          <w:smallCaps w:val="false"/>
          <w:sz w:val="20"/>
        </w:rPr>
        <w:t>. Rule 10b5-1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provides a defense from insider trading liability under Rule 10b5-1. In order to be eligible to rely on this defense, a person subject to this Policy must enter into a Rule 10b5-1 plan for transactions in Company securities that meets certain conditions specified in Rule 10b5-1 (a “</w:t>
      </w:r>
      <w:r>
        <w:rPr>
          <w:rFonts w:ascii="Times New Roman;Times;Serif" w:hAnsi="Times New Roman;Times;Serif"/>
          <w:b/>
          <w:i/>
          <w:caps w:val="false"/>
          <w:smallCaps w:val="false"/>
          <w:sz w:val="20"/>
        </w:rPr>
        <w:t>10b5-1 Plan”</w:t>
      </w:r>
      <w:r>
        <w:rPr>
          <w:rFonts w:ascii="Times New Roman;Times;Serif" w:hAnsi="Times New Roman;Times;Serif"/>
          <w:b w:val="false"/>
          <w:i w:val="false"/>
          <w:caps w:val="false"/>
          <w:smallCaps w:val="false"/>
          <w:sz w:val="20"/>
        </w:rPr>
        <w:t xml:space="preserve">). If the 10b5-1 Plan meets the requirements of Rule 10b5-1, the trading restrictions in this Policy will not apply, and transactions in Company securities may occur even when the person who has entered into the plan is aware of material nonpublic information.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this Policy, a 10b5-1 Plan must (i) be approved by the Compliance Officer at least five days in advance of being entered into (or, if revised or amended, such proposed revisions or amendments must be reviewed and approved by the Compliance Officer at least five days in advance of being entered into) and (ii) meet the requirements of Rule 10b5-1. In general, a 10b5-1 Plan must be entered into at a time when the person entering into the plan is not aware of material nonpublic information. All persons entering into a 10b5-1 Plan must operate in good faith with respect to such 10b5-1 Plan, meaning such person must enter into the 10b5-1 Plan in good faith and not as part of a plan or scheme to evade the prohibitions of Rule 10b5-1 and act in good faith with respect to the 10b5-1 Plan. Once the plan is adopted, the person must not exercise any influence over the amount of securities to be traded, the price at which they are to be traded or the date of the trade. The 10b5-1 Plan must either specify the amount, pricing and timing of transactions in advance or delegate discretion on these matters to an independent third party. The 10b5-1 Plan must include a cooling-off period before trading can commence that, for directors or officers, ends on the later of 90 days after the adoption or modification of the 10b5-1 Plan or two business days following the disclosure of the Company’s financial results in an SEC periodic report for the fiscal quarter in which the plan was adopted or modified (but in any event, the required cooling-off period is subject to a maximum of 120 days after adoption or modification of the plan), and for persons other than directors or officers, 30 days following the adoption or modification of a 10b5-1 Plan. A person shall not enter into overlapping 10b5-1 Plans (subject to certain exceptions) and may only enter into one single-trade 10b5-1 Plan during any 12-month period (subject to certain exceptions). Directors and officers must include a representation in their 10b5-1 Plan certifying that: (i) they are not aware of any material nonpublic information; and (ii) they are adopting the plan in good faith and not as part of a plan or scheme to evade the prohibitions in Rule 10b5-1.</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Administration and Pre-Clearance Procedures.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Company personnel are likely to obtain material nonpublic information on a regular basis, the Company requires all Insiders to refrain from trading in Company securities, even outside of Quarterly Blackout Periods or Special Blackout Periods, without first pre-clearing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Compliance Officer</w:t>
      </w:r>
      <w:r>
        <w:rPr>
          <w:rFonts w:ascii="Times New Roman;Times;Serif" w:hAnsi="Times New Roman;Times;Serif"/>
          <w:b w:val="false"/>
          <w:i w:val="false"/>
          <w:caps w:val="false"/>
          <w:smallCaps w:val="false"/>
          <w:sz w:val="20"/>
        </w:rPr>
        <w:t>. The Company has appointed the Chief Financial Officer or his or her designee as the Compliance Officer for this Policy. The duties of the Compliance Officer include assisting with implementation and enforcement of this Policy and pre-clearing all trading in Company securities by Insiders in accordance with the procedures set forth below. All determinations and interpretations by the Compliance Officer shall be final and not subject to further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Pre-clearance Procedures</w:t>
      </w:r>
      <w:r>
        <w:rPr>
          <w:rFonts w:ascii="Times New Roman;Times;Serif" w:hAnsi="Times New Roman;Times;Serif"/>
          <w:b w:val="false"/>
          <w:i w:val="false"/>
          <w:caps w:val="false"/>
          <w:smallCaps w:val="false"/>
          <w:sz w:val="20"/>
        </w:rPr>
        <w:t xml:space="preserve">. Each Insider shall not engage in any transaction in Company securities, including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gifts, without first obtaining pre-clearance of the transaction from the Compliance Officer. This pre-clearance also applies to transactions by Family Members whose pre-clearance will be obtained by the appropriate Insider on behalf of those Family Members. A request for pre-clearance shall be submitted to the Compliance Officer at least two business days in advance of the proposed transaction. The Compliance Officer will determine whether to permit the transaction based on compliance with this Policy. If pre-clearance to engage in the transaction is denied, then the applicant must refrain (or instruct such Family Member to refrain, if applicable) from initiating the proposed transaction. A trade not executed within five days of receipt of preclearance will again be subject to pre-clearance.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Pre-clearance is not required for purchases and sales of securities under a 10b5-1 Plan once the applicable cooling-off period has expired. No trades shall be made under a 10b5-1 Plan until expiration of the applicable cooling-off period. With respect to any purchase or sale under a 10b5-1 Plan, the third party effecting transactions on behalf of the Insider shall be instructed by the Insider to send duplicate confirmations of all such transactions to the Compliance Officer.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185"/>
        <w:gridCol w:w="644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Under Company Plans and Transactions Not Subject to the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Incentive Plan</w:t>
      </w:r>
      <w:r>
        <w:rPr>
          <w:rFonts w:ascii="Times New Roman;Times;Serif" w:hAnsi="Times New Roman;Times;Serif"/>
          <w:b w:val="false"/>
          <w:i w:val="false"/>
          <w:caps w:val="false"/>
          <w:smallCaps w:val="false"/>
          <w:sz w:val="20"/>
        </w:rPr>
        <w:t>. This Policy does not apply to the exercise of an employee stock option acquired under the Company’s stock incentive plan, or to the exercise of a tax withholding right to have the Company withhold option shares to satisfy tax withholding requirements. This Policy does apply, however, to any sale of stock as part of a broker-assisted cashless exercise of an option, or any other market sale of Company stock for the purpose of generating the cash needed to pay the exercise or purchase price of a stock option or incentive share award and/or 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Gifts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gifts of Company securities are not transactions subject to this Policy (other than the pre-clearance procedures for Insiders set forth in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unless the person making the gift has reason to believe or is reckless in not knowing that the recipient intends to sell the Company securities while the donor is aware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Restricted Stock Awards</w:t>
      </w:r>
      <w:r>
        <w:rPr>
          <w:rFonts w:ascii="Times New Roman;Times;Serif" w:hAnsi="Times New Roman;Times;Serif"/>
          <w:b w:val="false"/>
          <w:i w:val="false"/>
          <w:caps w:val="false"/>
          <w:smallCaps w:val="false"/>
          <w:sz w:val="20"/>
        </w:rPr>
        <w:t xml:space="preserve">. This Policy does not apply to the vesting of restricted stock, or the exercise of a tax withholding right pursuant to which a person elects to have the Company withhold shares of stock to satisfy tax withholding requirements upon the vesting of any restricted stock. The Policy does apply, however, to any market sale of restricted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401(k) Plan</w:t>
      </w:r>
      <w:r>
        <w:rPr>
          <w:rFonts w:ascii="Times New Roman;Times;Serif" w:hAnsi="Times New Roman;Times;Serif"/>
          <w:b w:val="false"/>
          <w:i w:val="false"/>
          <w:caps w:val="false"/>
          <w:smallCaps w:val="false"/>
          <w:sz w:val="20"/>
        </w:rPr>
        <w:t xml:space="preserve">. This Policy does not apply to purchases of Company securities in any Company 401(k) plan resulting from periodic contributions of money to the plan pursuant to a person’s payroll deduction election. This Policy does apply, however, to certain elections made under the 401(k) plan, including: (i) an election to increase or decrease the percentage of periodic contributions that will be allocated to the Company securities fund; (ii) an election to make an intra-plan transfer of an existing account balance into or out of the Company securities fund; (iii) an election to borrow money against a 401(k) plan account if the loan will result in a liquidation of some or all of the electing person’s Company securities fund balance; and (iv) an election to pre-pay a plan loan if the pre-payment will result in allocation of loan proceeds to the Company stock fund. Sales of Company securities from a 401(k) account are also subject to Rule 144, and therefore affiliates shall ensure that a Form 144 is filed when required.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Employee Stock Purchase Plan</w:t>
      </w:r>
      <w:r>
        <w:rPr>
          <w:rFonts w:ascii="Times New Roman;Times;Serif" w:hAnsi="Times New Roman;Times;Serif"/>
          <w:b w:val="false"/>
          <w:i w:val="false"/>
          <w:caps w:val="false"/>
          <w:smallCaps w:val="false"/>
          <w:sz w:val="20"/>
        </w:rPr>
        <w:t xml:space="preserve">. This Policy does not apply to purchases of Company securities in any employee stock purchase plan resulting from periodic contributions of money to the plan pursuant to the election made at the time of such person’s enrollment in the plan. This Policy also does not apply to purchases of Company securities resulting from lump sum contributions to the plan,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person elected to participate by lump sum payment at the beginning of the applicable enrollment period. This Policy does apply, however, to elections to participate in the plan for any enrollment period, and to sales of Company securities purchased pursuant to the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Dividend Reinvestment Plan</w:t>
      </w:r>
      <w:r>
        <w:rPr>
          <w:rFonts w:ascii="Times New Roman;Times;Serif" w:hAnsi="Times New Roman;Times;Serif"/>
          <w:b w:val="false"/>
          <w:i w:val="false"/>
          <w:caps w:val="false"/>
          <w:smallCaps w:val="false"/>
          <w:sz w:val="20"/>
        </w:rPr>
        <w:t>. This Policy does not apply to purchases of Company securities under any Company dividend reinvestment plan resulting from reinvestments of dividends paid on Company securities. This Policy does apply, however, to voluntary purchases of Company securities resulting from additional contributions a person may choose to make to the dividend reinvestment plan, and to elections to participate in the plan or increase the level of participation in the plan. This Policy also applies to the sale of any Company securities purchased pursuant to the plan.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85"/>
        <w:gridCol w:w="296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Special and Prohibited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Section 16(c) of the Exchange Act prohibits officers and directors of the Company from engaging in short sales of Company equity securities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sale of the security that the seller does not own and will subsequently acquire). A short sale of Company securities may indicate an expectation on the part of the seller that the security will decline in value, and therefore have the potential to signal to the market that the seller lacks confidence in the Company’s prospects. In addition, a short sale of Company securities may reduce a Covered Person’s incentive to seek to improve the Company’s performance. For these reasons, Covered Persons are prohibited from engaging in short sales of Company securities, or writing a call option or purchasing a put option on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Margin Accounts and Pledged Securities</w:t>
      </w:r>
      <w:r>
        <w:rPr>
          <w:rFonts w:ascii="Times New Roman;Times;Serif" w:hAnsi="Times New Roman;Times;Serif"/>
          <w:b w:val="false"/>
          <w:i w:val="false"/>
          <w:caps w:val="false"/>
          <w:smallCaps w:val="false"/>
          <w:sz w:val="20"/>
        </w:rPr>
        <w:t>. Securities held in a brokerage margin account as collateral for a margin loan may be sold by the broker without the customer’s consent if the customer fails to meet a broker’s margin call. Similarly, securities pledged as collateral for a loan may be sold in foreclosure by the lender if the borrower defaults on the loan. Because a margin sale or foreclosure sale may occur at a time when a Covered Person is aware of material nonpublic information or otherwise is not permitted to trade in Company securities under this Policy, Covered Persons are prohibited from holding Company securities in a margin account or otherwise pledging Company securities as collateral for a loan, unless a waiver for a specific loan transaction is approved by the Compliance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Post-Termination Transactions</w:t>
      </w:r>
      <w:r>
        <w:rPr>
          <w:rFonts w:ascii="Times New Roman;Times;Serif" w:hAnsi="Times New Roman;Times;Serif"/>
          <w:b w:val="false"/>
          <w:i w:val="false"/>
          <w:caps w:val="false"/>
          <w:smallCaps w:val="false"/>
          <w:sz w:val="20"/>
        </w:rPr>
        <w:t xml:space="preserve">. This Policy continues to apply to transactions in Company securities after termination of service to the Company, if an individual is in possession of material nonpublic information, until such time as the information has become public or is no longer material. The pre-clearance requirements set forth in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however, will cease to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Publicly Traded Options</w:t>
      </w:r>
      <w:r>
        <w:rPr>
          <w:rFonts w:ascii="Times New Roman;Times;Serif" w:hAnsi="Times New Roman;Times;Serif"/>
          <w:b w:val="false"/>
          <w:i w:val="false"/>
          <w:caps w:val="false"/>
          <w:smallCaps w:val="false"/>
          <w:sz w:val="20"/>
        </w:rPr>
        <w:t>. Given the relatively short term of publicly traded options, transactions in options may create the appearance that a director, officer or employee is trading based on material nonpublic information and cause the focus of a director’s, officer’s or other employee’s attention to be on short-term performance at the expense of the Company’s long-term objectives. Accordingly, transactions in put options, call options or other derivative securities, on an exchange or in any other organized market, are prohibited by this Policy.</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Hedging Transactions</w:t>
      </w:r>
      <w:r>
        <w:rPr>
          <w:rFonts w:ascii="Times New Roman;Times;Serif" w:hAnsi="Times New Roman;Times;Serif"/>
          <w:b w:val="false"/>
          <w:i w:val="false"/>
          <w:caps w:val="false"/>
          <w:smallCaps w:val="false"/>
          <w:sz w:val="20"/>
        </w:rPr>
        <w:t>. Hedging or monetization transactions can be accomplished through a number of possible mechanisms, including through the use of financial instruments such as prepaid variable forwards, equity swaps, collars and exchange funds. Such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are prohibited from engaging in any such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Standing and Limit Orders</w:t>
      </w:r>
      <w:r>
        <w:rPr>
          <w:rFonts w:ascii="Times New Roman;Times;Serif" w:hAnsi="Times New Roman;Times;Serif"/>
          <w:b w:val="false"/>
          <w:i w:val="false"/>
          <w:caps w:val="false"/>
          <w:smallCaps w:val="false"/>
          <w:sz w:val="20"/>
        </w:rPr>
        <w:t>. Standing and limit orders (except standing and limit orders under approved 10b5-1 Plans)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w:t>
      </w:r>
    </w:p>
    <w:p>
      <w:pPr>
        <w:pStyle w:val="TextBody"/>
        <w:bidi w:val="0"/>
        <w:spacing w:before="0" w:after="0"/>
        <w:ind w:left="0" w:right="0" w:firstLine="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185"/>
        <w:gridCol w:w="173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Assistance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having questions concerning this Policy or its application to specific circumstances or transactions may contact the Compliance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was approved by the Board of Directors of Sanara MedTech Inc. on March 20, 2025.</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Deemed to be Insiders Under the Policy</w:t>
      </w:r>
    </w:p>
    <w:p>
      <w:pPr>
        <w:pStyle w:val="TextBody"/>
        <w:bidi w:val="0"/>
        <w:spacing w:before="0" w:after="0"/>
        <w:ind w:left="0" w:right="0" w:hanging="0"/>
        <w:jc w:val="center"/>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the Company’s executive leadership team (ELT)</w:t>
            </w:r>
          </w:p>
        </w:tc>
      </w:tr>
    </w:tbl>
    <w:p>
      <w:pPr>
        <w:pStyle w:val="TextBody"/>
        <w:bidi w:val="0"/>
        <w:spacing w:before="0" w:after="0"/>
        <w:ind w:left="720" w:right="0" w:hanging="36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employees with knowledge of material, non-public information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ind w:left="720" w:right="0" w:hanging="36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 A to Insider Trading Policy</w:t>
      </w:r>
    </w:p>
    <w:p>
      <w:pPr>
        <w:pStyle w:val="TextBody"/>
        <w:bidi w:val="0"/>
        <w:spacing w:before="0" w:after="0"/>
        <w:ind w:left="720" w:right="0" w:hanging="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14256/000165495421008050/smti_ex101000.htm" TargetMode="External"/><Relationship Id="rId3" Type="http://schemas.openxmlformats.org/officeDocument/2006/relationships/hyperlink" Target="https://www.sec.gov/Archives/edgar/data/714256/000149315222008931/ex2-1.htm" TargetMode="External"/><Relationship Id="rId4" Type="http://schemas.openxmlformats.org/officeDocument/2006/relationships/hyperlink" Target="https://www.sec.gov/Archives/edgar/data/714256/000149315222018458/ex2-1.htm" TargetMode="External"/><Relationship Id="rId5" Type="http://schemas.openxmlformats.org/officeDocument/2006/relationships/hyperlink" Target="https://www.sec.gov/Archives/edgar/data/714256/000149315223026375/ex2-1.htm" TargetMode="External"/><Relationship Id="rId6" Type="http://schemas.openxmlformats.org/officeDocument/2006/relationships/hyperlink" Target="https://www.sec.gov/Archives/edgar/data/714256/000164117225002780/ex2-1.htm" TargetMode="External"/><Relationship Id="rId7" Type="http://schemas.openxmlformats.org/officeDocument/2006/relationships/hyperlink" Target="https://www.sec.gov/Archives/edgar/data/714256/000149315226035196/ex2-1.htm" TargetMode="External"/><Relationship Id="rId8" Type="http://schemas.openxmlformats.org/officeDocument/2006/relationships/hyperlink" Target="https://www.sec.gov/Archives/edgar/data/714256/000149315224024163/ex3-1.htm" TargetMode="External"/><Relationship Id="rId9" Type="http://schemas.openxmlformats.org/officeDocument/2006/relationships/hyperlink" Target="https://www.sec.gov/Archives/edgar/data/714256/000149315224010985/ex3-1.htm" TargetMode="External"/><Relationship Id="rId10" Type="http://schemas.openxmlformats.org/officeDocument/2006/relationships/hyperlink" Target="https://www.sec.gov/Archives/edgar/data/714256/000149315226035196/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36818</Words>
  <Characters>202014</Characters>
  <CharactersWithSpaces>240547</CharactersWithSpaces>
  <Paragraphs>7399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